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1A9095" w14:textId="3D454492" w:rsidR="00DE01F8" w:rsidRDefault="00433767" w:rsidP="001E5F05">
      <w:pPr>
        <w:pStyle w:val="TitlePage1"/>
        <w:ind w:left="142"/>
      </w:pPr>
      <w:r>
        <w:rPr>
          <w:noProof/>
        </w:rPr>
        <w:drawing>
          <wp:anchor distT="0" distB="0" distL="114300" distR="114300" simplePos="0" relativeHeight="251658240" behindDoc="1" locked="0" layoutInCell="1" allowOverlap="1" wp14:anchorId="25645A46" wp14:editId="3A923A60">
            <wp:simplePos x="0" y="0"/>
            <wp:positionH relativeFrom="column">
              <wp:posOffset>5183505</wp:posOffset>
            </wp:positionH>
            <wp:positionV relativeFrom="paragraph">
              <wp:posOffset>8459470</wp:posOffset>
            </wp:positionV>
            <wp:extent cx="1080000" cy="1080000"/>
            <wp:effectExtent l="0" t="0" r="6350" b="6350"/>
            <wp:wrapNone/>
            <wp:docPr id="4" name="VCAT Seal1"/>
            <wp:cNvGraphicFramePr/>
            <a:graphic xmlns:a="http://schemas.openxmlformats.org/drawingml/2006/main">
              <a:graphicData uri="http://schemas.openxmlformats.org/drawingml/2006/picture">
                <pic:pic xmlns:pic="http://schemas.openxmlformats.org/drawingml/2006/picture">
                  <pic:nvPicPr>
                    <pic:cNvPr id="4" name="VCAT Seal1"/>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DE01F8">
        <w:t xml:space="preserve">VICTORIAN CIVIL AND </w:t>
      </w:r>
      <w:r w:rsidR="00DE01F8" w:rsidRPr="00A522C6">
        <w:t>ADMINISTRATIVE</w:t>
      </w:r>
      <w:r w:rsidR="00DE01F8">
        <w:t xml:space="preserve"> TRIBUNAL</w:t>
      </w:r>
    </w:p>
    <w:tbl>
      <w:tblPr>
        <w:tblW w:w="5000" w:type="pct"/>
        <w:tblLook w:val="0000" w:firstRow="0" w:lastRow="0" w:firstColumn="0" w:lastColumn="0" w:noHBand="0" w:noVBand="0"/>
      </w:tblPr>
      <w:tblGrid>
        <w:gridCol w:w="4678"/>
        <w:gridCol w:w="3827"/>
      </w:tblGrid>
      <w:tr w:rsidR="00DE01F8" w14:paraId="1D8B8321" w14:textId="77777777" w:rsidTr="008E2ED1">
        <w:trPr>
          <w:cantSplit/>
        </w:trPr>
        <w:tc>
          <w:tcPr>
            <w:tcW w:w="2750" w:type="pct"/>
          </w:tcPr>
          <w:p w14:paraId="1E297953" w14:textId="77777777" w:rsidR="00DE01F8" w:rsidRDefault="00DE01F8" w:rsidP="008E2ED1">
            <w:pPr>
              <w:pStyle w:val="TitlePage2"/>
              <w:ind w:left="34"/>
            </w:pPr>
            <w:r>
              <w:t>planning and environment LIST</w:t>
            </w:r>
          </w:p>
        </w:tc>
        <w:tc>
          <w:tcPr>
            <w:tcW w:w="2250" w:type="pct"/>
          </w:tcPr>
          <w:p w14:paraId="38203849" w14:textId="77777777" w:rsidR="00DE01F8" w:rsidRDefault="00DE01F8" w:rsidP="008E2ED1">
            <w:pPr>
              <w:pStyle w:val="TitlePage3"/>
            </w:pPr>
            <w:r>
              <w:t xml:space="preserve">vcat reference No. </w:t>
            </w:r>
            <w:r w:rsidRPr="00465662">
              <w:rPr>
                <w:noProof/>
              </w:rPr>
              <w:t>P717/2020</w:t>
            </w:r>
          </w:p>
          <w:p w14:paraId="471C2385" w14:textId="07F90410" w:rsidR="00DE01F8" w:rsidRDefault="00DE01F8" w:rsidP="008E2ED1">
            <w:pPr>
              <w:pStyle w:val="TitlePage3"/>
            </w:pPr>
            <w:r>
              <w:t xml:space="preserve">Permit Application no. </w:t>
            </w:r>
            <w:bookmarkStart w:id="0" w:name="_Hlk65759583"/>
            <w:r w:rsidRPr="00DE01F8">
              <w:t>TPA/50512</w:t>
            </w:r>
            <w:bookmarkEnd w:id="0"/>
          </w:p>
        </w:tc>
      </w:tr>
      <w:tr w:rsidR="00DE01F8" w14:paraId="00A7D77D" w14:textId="77777777" w:rsidTr="008E2ED1">
        <w:tblPrEx>
          <w:jc w:val="center"/>
        </w:tblPrEx>
        <w:trPr>
          <w:cantSplit/>
          <w:jc w:val="center"/>
        </w:trPr>
        <w:tc>
          <w:tcPr>
            <w:tcW w:w="5000" w:type="pct"/>
            <w:gridSpan w:val="2"/>
          </w:tcPr>
          <w:p w14:paraId="0C324C5A" w14:textId="77777777" w:rsidR="00DE01F8" w:rsidRDefault="00DE01F8" w:rsidP="008E2ED1">
            <w:pPr>
              <w:pStyle w:val="TitlePage2"/>
              <w:jc w:val="center"/>
            </w:pPr>
            <w:r>
              <w:t>CATCHWORDS</w:t>
            </w:r>
          </w:p>
        </w:tc>
      </w:tr>
      <w:tr w:rsidR="00DE01F8" w14:paraId="77ACCCE9" w14:textId="77777777" w:rsidTr="008E2ED1">
        <w:tblPrEx>
          <w:jc w:val="center"/>
        </w:tblPrEx>
        <w:trPr>
          <w:cantSplit/>
          <w:jc w:val="center"/>
        </w:trPr>
        <w:tc>
          <w:tcPr>
            <w:tcW w:w="5000" w:type="pct"/>
            <w:gridSpan w:val="2"/>
          </w:tcPr>
          <w:p w14:paraId="42029221" w14:textId="6CD1627E" w:rsidR="00DE01F8" w:rsidRDefault="00426D8F" w:rsidP="008E2ED1">
            <w:pPr>
              <w:pStyle w:val="Catchwords"/>
            </w:pPr>
            <w:r w:rsidRPr="00426D8F">
              <w:t>Monash</w:t>
            </w:r>
            <w:r>
              <w:t xml:space="preserve"> Planning Scheme; </w:t>
            </w:r>
            <w:r w:rsidRPr="00426D8F">
              <w:t>General Residential Zone, Schedule 2</w:t>
            </w:r>
            <w:r>
              <w:t>; Two double-story dwellings plus basement; Neighbourhood character; Car parking.</w:t>
            </w:r>
            <w:r w:rsidR="00DE01F8">
              <w:rPr>
                <w:highlight w:val="yellow"/>
              </w:rPr>
              <w:t xml:space="preserve">    </w:t>
            </w:r>
          </w:p>
        </w:tc>
      </w:tr>
    </w:tbl>
    <w:p w14:paraId="3B3DF28B" w14:textId="77777777" w:rsidR="00DE01F8" w:rsidRDefault="00DE01F8" w:rsidP="001E5F05"/>
    <w:tbl>
      <w:tblPr>
        <w:tblW w:w="5000" w:type="pct"/>
        <w:tblLook w:val="0000" w:firstRow="0" w:lastRow="0" w:firstColumn="0" w:lastColumn="0" w:noHBand="0" w:noVBand="0"/>
      </w:tblPr>
      <w:tblGrid>
        <w:gridCol w:w="3545"/>
        <w:gridCol w:w="4960"/>
      </w:tblGrid>
      <w:tr w:rsidR="00DE01F8" w14:paraId="46CEFEE3" w14:textId="77777777" w:rsidTr="008E2ED1">
        <w:tc>
          <w:tcPr>
            <w:tcW w:w="2084" w:type="pct"/>
          </w:tcPr>
          <w:p w14:paraId="528E878D" w14:textId="77777777" w:rsidR="00DE01F8" w:rsidRDefault="00DE01F8" w:rsidP="008E2ED1">
            <w:pPr>
              <w:pStyle w:val="TitlePage2"/>
            </w:pPr>
            <w:r>
              <w:t>APPLICANT</w:t>
            </w:r>
          </w:p>
        </w:tc>
        <w:tc>
          <w:tcPr>
            <w:tcW w:w="2916" w:type="pct"/>
          </w:tcPr>
          <w:p w14:paraId="40F309E2" w14:textId="77777777" w:rsidR="00DE01F8" w:rsidRDefault="00DE01F8" w:rsidP="008E2ED1">
            <w:pPr>
              <w:pStyle w:val="TitlePagetext"/>
            </w:pPr>
            <w:r w:rsidRPr="00465662">
              <w:rPr>
                <w:noProof/>
              </w:rPr>
              <w:t>Likos Investments Pty Ltd</w:t>
            </w:r>
          </w:p>
        </w:tc>
      </w:tr>
      <w:tr w:rsidR="00DE01F8" w14:paraId="0A379995" w14:textId="77777777" w:rsidTr="008E2ED1">
        <w:tc>
          <w:tcPr>
            <w:tcW w:w="2084" w:type="pct"/>
          </w:tcPr>
          <w:p w14:paraId="0E1537DD" w14:textId="77777777" w:rsidR="00DE01F8" w:rsidRDefault="00DE01F8" w:rsidP="008E2ED1">
            <w:pPr>
              <w:pStyle w:val="TitlePage2"/>
            </w:pPr>
            <w:r>
              <w:t>responsible authority</w:t>
            </w:r>
          </w:p>
        </w:tc>
        <w:tc>
          <w:tcPr>
            <w:tcW w:w="2916" w:type="pct"/>
          </w:tcPr>
          <w:p w14:paraId="5F0CD441" w14:textId="77777777" w:rsidR="00DE01F8" w:rsidRDefault="00DE01F8" w:rsidP="008E2ED1">
            <w:pPr>
              <w:pStyle w:val="TitlePagetext"/>
            </w:pPr>
            <w:r w:rsidRPr="00465662">
              <w:rPr>
                <w:noProof/>
              </w:rPr>
              <w:t>Monash City Council</w:t>
            </w:r>
          </w:p>
        </w:tc>
      </w:tr>
      <w:tr w:rsidR="00DE01F8" w14:paraId="4817246E" w14:textId="77777777" w:rsidTr="008E2ED1">
        <w:tc>
          <w:tcPr>
            <w:tcW w:w="2084" w:type="pct"/>
          </w:tcPr>
          <w:p w14:paraId="52F0D6D8" w14:textId="77777777" w:rsidR="00DE01F8" w:rsidRDefault="00DE01F8" w:rsidP="008E2ED1">
            <w:pPr>
              <w:pStyle w:val="TitlePage2"/>
            </w:pPr>
            <w:r>
              <w:t>SUBJECT LAND</w:t>
            </w:r>
          </w:p>
        </w:tc>
        <w:tc>
          <w:tcPr>
            <w:tcW w:w="2916" w:type="pct"/>
          </w:tcPr>
          <w:p w14:paraId="7C6EF76E" w14:textId="352CE7F9" w:rsidR="00DE01F8" w:rsidRDefault="00DE01F8" w:rsidP="008E2ED1">
            <w:pPr>
              <w:pStyle w:val="TitlePagetext"/>
            </w:pPr>
            <w:r w:rsidRPr="00465662">
              <w:rPr>
                <w:noProof/>
              </w:rPr>
              <w:t>37 Woonah Street</w:t>
            </w:r>
            <w:r>
              <w:rPr>
                <w:noProof/>
              </w:rPr>
              <w:br/>
            </w:r>
            <w:r w:rsidRPr="00465662">
              <w:rPr>
                <w:noProof/>
              </w:rPr>
              <w:t>CHADSTONE  VIC  3148</w:t>
            </w:r>
          </w:p>
        </w:tc>
      </w:tr>
      <w:tr w:rsidR="00DE01F8" w14:paraId="071836A0" w14:textId="77777777" w:rsidTr="008E2ED1">
        <w:tc>
          <w:tcPr>
            <w:tcW w:w="2084" w:type="pct"/>
          </w:tcPr>
          <w:p w14:paraId="3ADD7856" w14:textId="77777777" w:rsidR="00DE01F8" w:rsidRDefault="00DE01F8" w:rsidP="008E2ED1">
            <w:pPr>
              <w:pStyle w:val="TitlePage2"/>
            </w:pPr>
            <w:r>
              <w:t>HEARING TYPE</w:t>
            </w:r>
          </w:p>
        </w:tc>
        <w:tc>
          <w:tcPr>
            <w:tcW w:w="2916" w:type="pct"/>
          </w:tcPr>
          <w:p w14:paraId="5D5E560E" w14:textId="77777777" w:rsidR="00DE01F8" w:rsidRDefault="00DE01F8" w:rsidP="008E2ED1">
            <w:pPr>
              <w:pStyle w:val="TitlePagetext"/>
            </w:pPr>
            <w:r w:rsidRPr="00465662">
              <w:rPr>
                <w:noProof/>
              </w:rPr>
              <w:t>Hearing</w:t>
            </w:r>
          </w:p>
        </w:tc>
      </w:tr>
      <w:tr w:rsidR="00DE01F8" w14:paraId="49DE27A4" w14:textId="77777777" w:rsidTr="008E2ED1">
        <w:tc>
          <w:tcPr>
            <w:tcW w:w="2084" w:type="pct"/>
          </w:tcPr>
          <w:p w14:paraId="46F43BF1" w14:textId="77777777" w:rsidR="00DE01F8" w:rsidRDefault="00DE01F8" w:rsidP="008E2ED1">
            <w:pPr>
              <w:pStyle w:val="TitlePage2"/>
            </w:pPr>
            <w:r>
              <w:t>DATE OF HEARING</w:t>
            </w:r>
          </w:p>
        </w:tc>
        <w:tc>
          <w:tcPr>
            <w:tcW w:w="2916" w:type="pct"/>
          </w:tcPr>
          <w:p w14:paraId="22AC5FA6" w14:textId="77777777" w:rsidR="00DE01F8" w:rsidRDefault="00DE01F8" w:rsidP="008E2ED1">
            <w:pPr>
              <w:pStyle w:val="TitlePagetext"/>
            </w:pPr>
            <w:r w:rsidRPr="00465662">
              <w:rPr>
                <w:noProof/>
              </w:rPr>
              <w:t>4 March 2021</w:t>
            </w:r>
          </w:p>
        </w:tc>
      </w:tr>
      <w:tr w:rsidR="00DE01F8" w14:paraId="563A6B21" w14:textId="77777777" w:rsidTr="008E2ED1">
        <w:tc>
          <w:tcPr>
            <w:tcW w:w="2084" w:type="pct"/>
          </w:tcPr>
          <w:p w14:paraId="6AA38B3A" w14:textId="77777777" w:rsidR="00DE01F8" w:rsidRDefault="00DE01F8" w:rsidP="008E2ED1">
            <w:pPr>
              <w:pStyle w:val="TitlePage2"/>
            </w:pPr>
            <w:r>
              <w:t>DATE OF ORDER</w:t>
            </w:r>
          </w:p>
        </w:tc>
        <w:tc>
          <w:tcPr>
            <w:tcW w:w="2916" w:type="pct"/>
          </w:tcPr>
          <w:p w14:paraId="1F21294E" w14:textId="08D5930E" w:rsidR="00DE01F8" w:rsidRDefault="00DF5C3F" w:rsidP="008E2ED1">
            <w:pPr>
              <w:pStyle w:val="TitlePagetext"/>
            </w:pPr>
            <w:r>
              <w:t>2</w:t>
            </w:r>
            <w:r w:rsidR="00A0534D">
              <w:t>0</w:t>
            </w:r>
            <w:r>
              <w:t xml:space="preserve"> April </w:t>
            </w:r>
            <w:r w:rsidR="00426D8F">
              <w:t>2021</w:t>
            </w:r>
          </w:p>
        </w:tc>
      </w:tr>
      <w:tr w:rsidR="00DE01F8" w14:paraId="382AA488" w14:textId="77777777" w:rsidTr="008E2ED1">
        <w:tc>
          <w:tcPr>
            <w:tcW w:w="2084" w:type="pct"/>
          </w:tcPr>
          <w:p w14:paraId="1A2CAA01" w14:textId="77777777" w:rsidR="00DE01F8" w:rsidRDefault="00DE01F8" w:rsidP="008E2ED1">
            <w:pPr>
              <w:pStyle w:val="TitlePage2"/>
            </w:pPr>
            <w:r w:rsidRPr="002C4150">
              <w:t>CITATION</w:t>
            </w:r>
          </w:p>
        </w:tc>
        <w:tc>
          <w:tcPr>
            <w:tcW w:w="2916" w:type="pct"/>
          </w:tcPr>
          <w:p w14:paraId="3E82BA1C" w14:textId="75F266E8" w:rsidR="001F58FE" w:rsidRDefault="001F58FE" w:rsidP="008E2ED1">
            <w:pPr>
              <w:pStyle w:val="TitlePagetext"/>
              <w:rPr>
                <w:noProof/>
              </w:rPr>
            </w:pPr>
            <w:r w:rsidRPr="00465662">
              <w:rPr>
                <w:noProof/>
              </w:rPr>
              <w:t>Likos Investments Pty Ltd</w:t>
            </w:r>
            <w:r>
              <w:rPr>
                <w:noProof/>
              </w:rPr>
              <w:t xml:space="preserve"> v Monash CC [2021] VCAT 370</w:t>
            </w:r>
          </w:p>
        </w:tc>
      </w:tr>
    </w:tbl>
    <w:p w14:paraId="531DD0B7" w14:textId="77777777" w:rsidR="00DE01F8" w:rsidRDefault="00DE01F8" w:rsidP="001E5F05">
      <w:pPr>
        <w:pStyle w:val="Heading1"/>
      </w:pPr>
      <w:r>
        <w:t>Order</w:t>
      </w:r>
    </w:p>
    <w:p w14:paraId="32C32391" w14:textId="77777777" w:rsidR="00490591" w:rsidRDefault="00490591" w:rsidP="00490591">
      <w:pPr>
        <w:pStyle w:val="Heading3"/>
      </w:pPr>
      <w:r>
        <w:t xml:space="preserve">Amend permit application </w:t>
      </w:r>
    </w:p>
    <w:p w14:paraId="03383D6F" w14:textId="77777777" w:rsidR="00490591" w:rsidRDefault="00490591" w:rsidP="00490591">
      <w:pPr>
        <w:pStyle w:val="Order2"/>
        <w:numPr>
          <w:ilvl w:val="0"/>
          <w:numId w:val="12"/>
        </w:numPr>
      </w:pPr>
      <w:r>
        <w:rPr>
          <w:lang w:val="en-GB"/>
        </w:rPr>
        <w:t xml:space="preserve">Pursuant to clause 64 of Schedule 1 of the </w:t>
      </w:r>
      <w:r>
        <w:rPr>
          <w:i/>
          <w:lang w:val="en-GB"/>
        </w:rPr>
        <w:t xml:space="preserve">Victorian Civil &amp; Administrative Tribunal Act </w:t>
      </w:r>
      <w:r w:rsidRPr="009D32E1">
        <w:rPr>
          <w:i/>
        </w:rPr>
        <w:t>1998</w:t>
      </w:r>
      <w:r>
        <w:t>, the permit application is amended by substituting for the permit application plans, the following plans filed with the Tribunal:</w:t>
      </w:r>
    </w:p>
    <w:tbl>
      <w:tblPr>
        <w:tblW w:w="0" w:type="auto"/>
        <w:tblLook w:val="01E0" w:firstRow="1" w:lastRow="1" w:firstColumn="1" w:lastColumn="1" w:noHBand="0" w:noVBand="0"/>
      </w:tblPr>
      <w:tblGrid>
        <w:gridCol w:w="3486"/>
        <w:gridCol w:w="5019"/>
      </w:tblGrid>
      <w:tr w:rsidR="00490591" w14:paraId="6307060F" w14:textId="77777777" w:rsidTr="00490591">
        <w:tc>
          <w:tcPr>
            <w:tcW w:w="3486" w:type="dxa"/>
            <w:shd w:val="clear" w:color="auto" w:fill="auto"/>
          </w:tcPr>
          <w:p w14:paraId="1F9970F1" w14:textId="77777777" w:rsidR="00490591" w:rsidRDefault="00490591" w:rsidP="009C1EB1">
            <w:pPr>
              <w:pStyle w:val="Para5"/>
            </w:pPr>
            <w:r>
              <w:t>Prepared by:</w:t>
            </w:r>
          </w:p>
        </w:tc>
        <w:tc>
          <w:tcPr>
            <w:tcW w:w="5019" w:type="dxa"/>
            <w:shd w:val="clear" w:color="auto" w:fill="auto"/>
          </w:tcPr>
          <w:p w14:paraId="5C8E8812" w14:textId="751F5EE6" w:rsidR="00490591" w:rsidRDefault="002728C8" w:rsidP="009C1EB1">
            <w:pPr>
              <w:pStyle w:val="Para2"/>
              <w:ind w:left="0"/>
            </w:pPr>
            <w:r>
              <w:t>Roke Design Studios</w:t>
            </w:r>
          </w:p>
        </w:tc>
      </w:tr>
      <w:tr w:rsidR="00490591" w14:paraId="3688B959" w14:textId="77777777" w:rsidTr="00490591">
        <w:tc>
          <w:tcPr>
            <w:tcW w:w="3486" w:type="dxa"/>
            <w:shd w:val="clear" w:color="auto" w:fill="auto"/>
          </w:tcPr>
          <w:p w14:paraId="1F806064" w14:textId="77777777" w:rsidR="00490591" w:rsidRDefault="00490591" w:rsidP="009C1EB1">
            <w:pPr>
              <w:pStyle w:val="Para5"/>
            </w:pPr>
            <w:r>
              <w:t>Drawing numbers:</w:t>
            </w:r>
          </w:p>
        </w:tc>
        <w:tc>
          <w:tcPr>
            <w:tcW w:w="5019" w:type="dxa"/>
            <w:shd w:val="clear" w:color="auto" w:fill="auto"/>
          </w:tcPr>
          <w:p w14:paraId="1AFEA83C" w14:textId="7129AF38" w:rsidR="00490591" w:rsidRDefault="002C4150" w:rsidP="009C1EB1">
            <w:pPr>
              <w:pStyle w:val="Para2"/>
              <w:ind w:left="0"/>
            </w:pPr>
            <w:r>
              <w:t>TP01-TP11, Issue No. TP-22</w:t>
            </w:r>
          </w:p>
        </w:tc>
      </w:tr>
      <w:tr w:rsidR="00490591" w14:paraId="3795DA2C" w14:textId="77777777" w:rsidTr="00490591">
        <w:tc>
          <w:tcPr>
            <w:tcW w:w="3486" w:type="dxa"/>
            <w:shd w:val="clear" w:color="auto" w:fill="auto"/>
          </w:tcPr>
          <w:p w14:paraId="363B63F9" w14:textId="77777777" w:rsidR="00490591" w:rsidRDefault="00490591" w:rsidP="009C1EB1">
            <w:pPr>
              <w:pStyle w:val="Para5"/>
            </w:pPr>
            <w:r>
              <w:t>Dated:</w:t>
            </w:r>
          </w:p>
        </w:tc>
        <w:tc>
          <w:tcPr>
            <w:tcW w:w="5019" w:type="dxa"/>
            <w:shd w:val="clear" w:color="auto" w:fill="auto"/>
          </w:tcPr>
          <w:p w14:paraId="1F771CBA" w14:textId="3D173160" w:rsidR="00490591" w:rsidRDefault="002C4150" w:rsidP="009C1EB1">
            <w:pPr>
              <w:pStyle w:val="Para2"/>
              <w:ind w:left="0"/>
            </w:pPr>
            <w:r>
              <w:t>16/10/2020</w:t>
            </w:r>
          </w:p>
        </w:tc>
      </w:tr>
    </w:tbl>
    <w:p w14:paraId="4A7C1727" w14:textId="77777777" w:rsidR="00490591" w:rsidRPr="005E0653" w:rsidRDefault="00490591" w:rsidP="00490591">
      <w:pPr>
        <w:keepNext/>
        <w:spacing w:before="240" w:after="120"/>
        <w:outlineLvl w:val="2"/>
        <w:rPr>
          <w:rFonts w:ascii="Arial" w:hAnsi="Arial"/>
          <w:b/>
          <w:bCs/>
          <w:iCs/>
          <w:sz w:val="24"/>
          <w:szCs w:val="24"/>
        </w:rPr>
      </w:pPr>
      <w:r w:rsidRPr="005E0653">
        <w:rPr>
          <w:rFonts w:ascii="Arial" w:hAnsi="Arial"/>
          <w:b/>
          <w:bCs/>
          <w:iCs/>
          <w:sz w:val="24"/>
          <w:szCs w:val="24"/>
        </w:rPr>
        <w:t>Permit granted</w:t>
      </w:r>
    </w:p>
    <w:p w14:paraId="1591218A" w14:textId="312DF969" w:rsidR="00490591" w:rsidRPr="002C4150" w:rsidRDefault="00490591" w:rsidP="00490591">
      <w:pPr>
        <w:pStyle w:val="Order2"/>
      </w:pPr>
      <w:r w:rsidRPr="005E0653">
        <w:t xml:space="preserve">In application </w:t>
      </w:r>
      <w:r w:rsidR="002C4150">
        <w:t xml:space="preserve">P717/2020 </w:t>
      </w:r>
      <w:r w:rsidRPr="005E0653">
        <w:t xml:space="preserve">the decision of the responsible authority is set </w:t>
      </w:r>
      <w:r w:rsidRPr="002C4150">
        <w:t>aside.</w:t>
      </w:r>
    </w:p>
    <w:p w14:paraId="7BC073F6" w14:textId="5B950C68" w:rsidR="00490591" w:rsidRPr="002C4150" w:rsidRDefault="00490591" w:rsidP="00490591">
      <w:pPr>
        <w:numPr>
          <w:ilvl w:val="0"/>
          <w:numId w:val="8"/>
        </w:numPr>
        <w:spacing w:after="120" w:line="300" w:lineRule="atLeast"/>
      </w:pPr>
      <w:r w:rsidRPr="002C4150">
        <w:t>In planning permit application</w:t>
      </w:r>
      <w:r w:rsidR="002C4150" w:rsidRPr="002C4150">
        <w:t xml:space="preserve"> TPA/50512 </w:t>
      </w:r>
      <w:r w:rsidRPr="002C4150">
        <w:t>a permit is granted and directed to be issued for the land at</w:t>
      </w:r>
      <w:r w:rsidR="002C4150" w:rsidRPr="002C4150">
        <w:t xml:space="preserve"> 37 Woonah Street, Chadstone</w:t>
      </w:r>
      <w:r w:rsidRPr="002C4150">
        <w:t xml:space="preserve"> in accordance with the endorsed plans and the conditions set out in Appendix A.  The permit allows:</w:t>
      </w:r>
    </w:p>
    <w:p w14:paraId="01657B99" w14:textId="4118995F" w:rsidR="00DE01F8" w:rsidRDefault="002C4150" w:rsidP="00A81D21">
      <w:pPr>
        <w:numPr>
          <w:ilvl w:val="0"/>
          <w:numId w:val="3"/>
        </w:numPr>
        <w:spacing w:after="120" w:line="300" w:lineRule="atLeast"/>
      </w:pPr>
      <w:r w:rsidRPr="002C4150">
        <w:t xml:space="preserve">Construction of two dwellings on a lot in the General Residential Zone, Schedule 2. </w:t>
      </w:r>
    </w:p>
    <w:p w14:paraId="67C0BB02" w14:textId="77777777" w:rsidR="002C4150" w:rsidRDefault="002C4150" w:rsidP="002C4150">
      <w:pPr>
        <w:spacing w:after="120" w:line="300" w:lineRule="atLeast"/>
        <w:ind w:left="1134"/>
      </w:pPr>
    </w:p>
    <w:tbl>
      <w:tblPr>
        <w:tblW w:w="5000" w:type="pct"/>
        <w:tblLook w:val="0000" w:firstRow="0" w:lastRow="0" w:firstColumn="0" w:lastColumn="0" w:noHBand="0" w:noVBand="0"/>
      </w:tblPr>
      <w:tblGrid>
        <w:gridCol w:w="2976"/>
        <w:gridCol w:w="2552"/>
        <w:gridCol w:w="2977"/>
      </w:tblGrid>
      <w:tr w:rsidR="00DE01F8" w14:paraId="38E8C503" w14:textId="77777777" w:rsidTr="008E2ED1">
        <w:tc>
          <w:tcPr>
            <w:tcW w:w="1750" w:type="pct"/>
          </w:tcPr>
          <w:p w14:paraId="2D435A2D" w14:textId="6ED8D50C" w:rsidR="00DE01F8" w:rsidRPr="00B876A2" w:rsidRDefault="00DE01F8" w:rsidP="008E2ED1">
            <w:pPr>
              <w:rPr>
                <w:b/>
              </w:rPr>
            </w:pPr>
            <w:r>
              <w:rPr>
                <w:b/>
              </w:rPr>
              <w:t>Judith Perlstein</w:t>
            </w:r>
          </w:p>
          <w:p w14:paraId="0BE72FAB" w14:textId="77777777" w:rsidR="00DE01F8" w:rsidRDefault="00DE01F8" w:rsidP="008E2ED1">
            <w:pPr>
              <w:tabs>
                <w:tab w:val="left" w:pos="1515"/>
              </w:tabs>
              <w:rPr>
                <w:b/>
              </w:rPr>
            </w:pPr>
            <w:r>
              <w:rPr>
                <w:b/>
              </w:rPr>
              <w:t>Member</w:t>
            </w:r>
          </w:p>
        </w:tc>
        <w:tc>
          <w:tcPr>
            <w:tcW w:w="1500" w:type="pct"/>
          </w:tcPr>
          <w:p w14:paraId="3F1C5E64" w14:textId="77777777" w:rsidR="00DE01F8" w:rsidRDefault="00DE01F8" w:rsidP="008E2ED1"/>
        </w:tc>
        <w:tc>
          <w:tcPr>
            <w:tcW w:w="1750" w:type="pct"/>
          </w:tcPr>
          <w:p w14:paraId="3E5E0B6A" w14:textId="77777777" w:rsidR="00DE01F8" w:rsidRDefault="00DE01F8" w:rsidP="008E2ED1"/>
        </w:tc>
      </w:tr>
    </w:tbl>
    <w:p w14:paraId="0062980A" w14:textId="34494EAA" w:rsidR="00DE01F8" w:rsidRDefault="00433767" w:rsidP="001E5F05">
      <w:pPr>
        <w:pStyle w:val="Heading1"/>
        <w:rPr>
          <w:highlight w:val="yellow"/>
        </w:rPr>
      </w:pPr>
      <w:r>
        <w:rPr>
          <w:noProof/>
        </w:rPr>
        <w:lastRenderedPageBreak/>
        <w:drawing>
          <wp:anchor distT="0" distB="0" distL="114300" distR="114300" simplePos="0" relativeHeight="251659264" behindDoc="1" locked="0" layoutInCell="1" allowOverlap="1" wp14:anchorId="7B5BA9F8" wp14:editId="6E4D2176">
            <wp:simplePos x="0" y="0"/>
            <wp:positionH relativeFrom="column">
              <wp:posOffset>5183505</wp:posOffset>
            </wp:positionH>
            <wp:positionV relativeFrom="paragraph">
              <wp:posOffset>8459470</wp:posOffset>
            </wp:positionV>
            <wp:extent cx="1080000" cy="1080000"/>
            <wp:effectExtent l="0" t="0" r="6350" b="6350"/>
            <wp:wrapNone/>
            <wp:docPr id="5" name="VCAT Seal2"/>
            <wp:cNvGraphicFramePr/>
            <a:graphic xmlns:a="http://schemas.openxmlformats.org/drawingml/2006/main">
              <a:graphicData uri="http://schemas.openxmlformats.org/drawingml/2006/picture">
                <pic:pic xmlns:pic="http://schemas.openxmlformats.org/drawingml/2006/picture">
                  <pic:nvPicPr>
                    <pic:cNvPr id="5" name="VCAT Seal2"/>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DE01F8">
        <w:t>Appearances</w:t>
      </w:r>
    </w:p>
    <w:tbl>
      <w:tblPr>
        <w:tblW w:w="5000" w:type="pct"/>
        <w:tblLook w:val="0000" w:firstRow="0" w:lastRow="0" w:firstColumn="0" w:lastColumn="0" w:noHBand="0" w:noVBand="0"/>
      </w:tblPr>
      <w:tblGrid>
        <w:gridCol w:w="3261"/>
        <w:gridCol w:w="5244"/>
      </w:tblGrid>
      <w:tr w:rsidR="00DE01F8" w14:paraId="1A8A8461" w14:textId="77777777" w:rsidTr="00B60DEA">
        <w:trPr>
          <w:cantSplit/>
        </w:trPr>
        <w:tc>
          <w:tcPr>
            <w:tcW w:w="1917" w:type="pct"/>
          </w:tcPr>
          <w:p w14:paraId="616F5933" w14:textId="77777777" w:rsidR="00DE01F8" w:rsidRDefault="00DE01F8" w:rsidP="008E2ED1">
            <w:pPr>
              <w:pStyle w:val="TitlePagetext"/>
            </w:pPr>
            <w:r>
              <w:t>For applicant</w:t>
            </w:r>
          </w:p>
        </w:tc>
        <w:tc>
          <w:tcPr>
            <w:tcW w:w="3083" w:type="pct"/>
          </w:tcPr>
          <w:p w14:paraId="2A74B81B" w14:textId="77777777" w:rsidR="00EC3FFC" w:rsidRDefault="002C4150" w:rsidP="008E2ED1">
            <w:pPr>
              <w:pStyle w:val="TitlePagetext"/>
            </w:pPr>
            <w:r>
              <w:t>Robert Williams, planner of Human Habitats Pty Ltd</w:t>
            </w:r>
            <w:r w:rsidR="00EC3FFC">
              <w:t xml:space="preserve"> </w:t>
            </w:r>
          </w:p>
          <w:p w14:paraId="07BDE1C2" w14:textId="4E264E7C" w:rsidR="00DE01F8" w:rsidRDefault="00EC3FFC" w:rsidP="008E2ED1">
            <w:pPr>
              <w:pStyle w:val="TitlePagetext"/>
            </w:pPr>
            <w:r>
              <w:t>Dimitri Likopoulos of Likos Investments Pty Ltd.</w:t>
            </w:r>
          </w:p>
        </w:tc>
      </w:tr>
      <w:tr w:rsidR="00DE01F8" w14:paraId="2EF65E38" w14:textId="77777777" w:rsidTr="00B60DEA">
        <w:trPr>
          <w:cantSplit/>
        </w:trPr>
        <w:tc>
          <w:tcPr>
            <w:tcW w:w="1917" w:type="pct"/>
          </w:tcPr>
          <w:p w14:paraId="4F0539DB" w14:textId="77777777" w:rsidR="00DE01F8" w:rsidRDefault="00DE01F8" w:rsidP="008E2ED1">
            <w:pPr>
              <w:pStyle w:val="TitlePagetext"/>
            </w:pPr>
            <w:r>
              <w:t>For responsible authority</w:t>
            </w:r>
          </w:p>
        </w:tc>
        <w:tc>
          <w:tcPr>
            <w:tcW w:w="3083" w:type="pct"/>
          </w:tcPr>
          <w:p w14:paraId="16895E61" w14:textId="723E983A" w:rsidR="00DE01F8" w:rsidRDefault="00EC3FFC" w:rsidP="008E2ED1">
            <w:pPr>
              <w:pStyle w:val="TitlePagetext"/>
            </w:pPr>
            <w:r>
              <w:t>James Turner, planner of Monash City Council.</w:t>
            </w:r>
          </w:p>
        </w:tc>
      </w:tr>
    </w:tbl>
    <w:p w14:paraId="4F703808" w14:textId="77777777" w:rsidR="00DE01F8" w:rsidRPr="00303C52" w:rsidRDefault="00DE01F8" w:rsidP="001E5F05"/>
    <w:p w14:paraId="3D04A087" w14:textId="77777777" w:rsidR="00DE01F8" w:rsidRDefault="00DE01F8" w:rsidP="001E5F05">
      <w:pPr>
        <w:pStyle w:val="Heading1"/>
        <w:rPr>
          <w:highlight w:val="yellow"/>
        </w:rPr>
      </w:pPr>
      <w:r>
        <w:t>Information</w:t>
      </w:r>
    </w:p>
    <w:tbl>
      <w:tblPr>
        <w:tblW w:w="5000" w:type="pct"/>
        <w:tblLook w:val="0000" w:firstRow="0" w:lastRow="0" w:firstColumn="0" w:lastColumn="0" w:noHBand="0" w:noVBand="0"/>
      </w:tblPr>
      <w:tblGrid>
        <w:gridCol w:w="3273"/>
        <w:gridCol w:w="5232"/>
      </w:tblGrid>
      <w:tr w:rsidR="00DE01F8" w14:paraId="4FCCA0C8" w14:textId="77777777" w:rsidTr="008E2ED1">
        <w:trPr>
          <w:cantSplit/>
        </w:trPr>
        <w:tc>
          <w:tcPr>
            <w:tcW w:w="1924" w:type="pct"/>
          </w:tcPr>
          <w:p w14:paraId="758F2DC3" w14:textId="77777777" w:rsidR="00DE01F8" w:rsidRDefault="00DE01F8" w:rsidP="008E2ED1">
            <w:pPr>
              <w:pStyle w:val="TitlePagetext"/>
            </w:pPr>
            <w:r>
              <w:t>Description of proposal</w:t>
            </w:r>
          </w:p>
        </w:tc>
        <w:tc>
          <w:tcPr>
            <w:tcW w:w="3076" w:type="pct"/>
          </w:tcPr>
          <w:p w14:paraId="10DB8010" w14:textId="456F81CC" w:rsidR="00DE01F8" w:rsidRPr="00851E10" w:rsidRDefault="00EC3FFC" w:rsidP="008E2ED1">
            <w:pPr>
              <w:pStyle w:val="TitlePagetext"/>
            </w:pPr>
            <w:r>
              <w:t>Construction of two double-storey dwellings with basement.</w:t>
            </w:r>
          </w:p>
        </w:tc>
      </w:tr>
      <w:tr w:rsidR="00DE01F8" w14:paraId="5479EA03" w14:textId="77777777" w:rsidTr="008E2ED1">
        <w:trPr>
          <w:cantSplit/>
        </w:trPr>
        <w:tc>
          <w:tcPr>
            <w:tcW w:w="1924" w:type="pct"/>
          </w:tcPr>
          <w:p w14:paraId="7840F09E" w14:textId="77777777" w:rsidR="00DE01F8" w:rsidRDefault="00DE01F8" w:rsidP="008E2ED1">
            <w:pPr>
              <w:pStyle w:val="TitlePagetext"/>
            </w:pPr>
            <w:r>
              <w:t>Nature of proceeding</w:t>
            </w:r>
          </w:p>
        </w:tc>
        <w:tc>
          <w:tcPr>
            <w:tcW w:w="3076" w:type="pct"/>
          </w:tcPr>
          <w:p w14:paraId="2EDFA2EB" w14:textId="4F1954BF" w:rsidR="00DE01F8" w:rsidRPr="00851E10" w:rsidRDefault="00DE01F8" w:rsidP="00DE01F8">
            <w:pPr>
              <w:pStyle w:val="TitlePagetext"/>
            </w:pPr>
            <w:r>
              <w:t xml:space="preserve">Application under section 77 of the </w:t>
            </w:r>
            <w:r>
              <w:rPr>
                <w:i/>
              </w:rPr>
              <w:t xml:space="preserve">Planning and Environment Act </w:t>
            </w:r>
            <w:r w:rsidRPr="002B7051">
              <w:rPr>
                <w:i/>
              </w:rPr>
              <w:t>1987</w:t>
            </w:r>
            <w:r>
              <w:t xml:space="preserve"> – to review the refusal to grant a permit. </w:t>
            </w:r>
          </w:p>
        </w:tc>
      </w:tr>
      <w:tr w:rsidR="00DE01F8" w14:paraId="6D0E0068" w14:textId="77777777" w:rsidTr="008E2ED1">
        <w:trPr>
          <w:cantSplit/>
        </w:trPr>
        <w:tc>
          <w:tcPr>
            <w:tcW w:w="1924" w:type="pct"/>
          </w:tcPr>
          <w:p w14:paraId="64134A5B" w14:textId="77777777" w:rsidR="00DE01F8" w:rsidRPr="005C699E" w:rsidRDefault="00DE01F8" w:rsidP="008E2ED1">
            <w:pPr>
              <w:pStyle w:val="TitlePagetext"/>
            </w:pPr>
            <w:r>
              <w:t>Planning scheme</w:t>
            </w:r>
          </w:p>
        </w:tc>
        <w:tc>
          <w:tcPr>
            <w:tcW w:w="3076" w:type="pct"/>
          </w:tcPr>
          <w:p w14:paraId="53187A05" w14:textId="3B5B8996" w:rsidR="00DE01F8" w:rsidRPr="00851E10" w:rsidRDefault="00DE01F8" w:rsidP="008E2ED1">
            <w:pPr>
              <w:pStyle w:val="TitlePagetext"/>
            </w:pPr>
            <w:r>
              <w:t>Monash Planning Scheme</w:t>
            </w:r>
          </w:p>
        </w:tc>
      </w:tr>
      <w:tr w:rsidR="00DE01F8" w14:paraId="049BBDEC" w14:textId="77777777" w:rsidTr="008E2ED1">
        <w:trPr>
          <w:cantSplit/>
        </w:trPr>
        <w:tc>
          <w:tcPr>
            <w:tcW w:w="1924" w:type="pct"/>
          </w:tcPr>
          <w:p w14:paraId="4D3299E1" w14:textId="77777777" w:rsidR="00DE01F8" w:rsidRDefault="00DE01F8" w:rsidP="008E2ED1">
            <w:pPr>
              <w:pStyle w:val="TitlePagetext"/>
            </w:pPr>
            <w:r w:rsidRPr="005C699E">
              <w:t xml:space="preserve">Zone and </w:t>
            </w:r>
            <w:r>
              <w:t>o</w:t>
            </w:r>
            <w:r w:rsidRPr="005C699E">
              <w:t>verlays</w:t>
            </w:r>
          </w:p>
        </w:tc>
        <w:tc>
          <w:tcPr>
            <w:tcW w:w="3076" w:type="pct"/>
          </w:tcPr>
          <w:p w14:paraId="29462F92" w14:textId="70444028" w:rsidR="00DE01F8" w:rsidRPr="00851E10" w:rsidRDefault="00EC3FFC" w:rsidP="008E2ED1">
            <w:pPr>
              <w:pStyle w:val="TitlePagetext"/>
            </w:pPr>
            <w:r>
              <w:t>General Residential Zone, Schedule 2 (</w:t>
            </w:r>
            <w:r w:rsidRPr="00EC3FFC">
              <w:rPr>
                <w:b/>
                <w:bCs/>
              </w:rPr>
              <w:t>GRZ2</w:t>
            </w:r>
            <w:r>
              <w:t>).</w:t>
            </w:r>
          </w:p>
        </w:tc>
      </w:tr>
      <w:tr w:rsidR="00490591" w14:paraId="24044DCF" w14:textId="77777777" w:rsidTr="008E2ED1">
        <w:trPr>
          <w:cantSplit/>
        </w:trPr>
        <w:tc>
          <w:tcPr>
            <w:tcW w:w="1924" w:type="pct"/>
          </w:tcPr>
          <w:p w14:paraId="65D1BDF4" w14:textId="77777777" w:rsidR="00490591" w:rsidRPr="005C699E" w:rsidRDefault="00490591" w:rsidP="00490591">
            <w:pPr>
              <w:pStyle w:val="TitlePagetext"/>
            </w:pPr>
            <w:r>
              <w:t>Permit requirements</w:t>
            </w:r>
          </w:p>
        </w:tc>
        <w:tc>
          <w:tcPr>
            <w:tcW w:w="3076" w:type="pct"/>
          </w:tcPr>
          <w:p w14:paraId="3A7134D3" w14:textId="46CFC8FE" w:rsidR="00490591" w:rsidRPr="00851E10" w:rsidRDefault="00490591" w:rsidP="00F93C00">
            <w:r w:rsidRPr="00DE408F">
              <w:t xml:space="preserve">Clause </w:t>
            </w:r>
            <w:r w:rsidR="00EC3FFC">
              <w:t>32.08-6</w:t>
            </w:r>
            <w:r w:rsidRPr="00DE408F">
              <w:t xml:space="preserve"> - construction of two dwellings on a lot in the </w:t>
            </w:r>
            <w:r w:rsidR="00EC3FFC">
              <w:t>GRZ2</w:t>
            </w:r>
            <w:r w:rsidRPr="00DE408F">
              <w:t>.</w:t>
            </w:r>
          </w:p>
        </w:tc>
      </w:tr>
      <w:tr w:rsidR="00490591" w14:paraId="0FF21252" w14:textId="77777777" w:rsidTr="008E2ED1">
        <w:trPr>
          <w:cantSplit/>
        </w:trPr>
        <w:tc>
          <w:tcPr>
            <w:tcW w:w="1924" w:type="pct"/>
          </w:tcPr>
          <w:p w14:paraId="5429B8CB" w14:textId="77777777" w:rsidR="00490591" w:rsidRDefault="00490591" w:rsidP="00490591">
            <w:pPr>
              <w:pStyle w:val="TitlePagetext"/>
            </w:pPr>
            <w:r>
              <w:t>Relevant scheme policies and provisions</w:t>
            </w:r>
          </w:p>
        </w:tc>
        <w:tc>
          <w:tcPr>
            <w:tcW w:w="3076" w:type="pct"/>
          </w:tcPr>
          <w:p w14:paraId="5FA31F3B" w14:textId="61D355E9" w:rsidR="00490591" w:rsidRPr="00851E10" w:rsidRDefault="00490591" w:rsidP="00490591">
            <w:pPr>
              <w:pStyle w:val="TitlePagetext"/>
            </w:pPr>
            <w:r w:rsidRPr="00DE408F">
              <w:t>Clauses 11,</w:t>
            </w:r>
            <w:r>
              <w:t xml:space="preserve"> </w:t>
            </w:r>
            <w:r w:rsidRPr="00DE408F">
              <w:t>15, 16, 21.0</w:t>
            </w:r>
            <w:r w:rsidR="00F93C00">
              <w:t>2, 21.04, 22.</w:t>
            </w:r>
            <w:r w:rsidR="00EC3FFC">
              <w:t>01</w:t>
            </w:r>
            <w:r w:rsidRPr="00DE408F">
              <w:t xml:space="preserve">, </w:t>
            </w:r>
            <w:r>
              <w:t xml:space="preserve">32.08, 52.06, </w:t>
            </w:r>
            <w:r w:rsidRPr="00DE408F">
              <w:t>55</w:t>
            </w:r>
            <w:r>
              <w:t xml:space="preserve">, </w:t>
            </w:r>
            <w:r w:rsidRPr="00DE408F">
              <w:t>65</w:t>
            </w:r>
            <w:r>
              <w:t xml:space="preserve"> and 71</w:t>
            </w:r>
            <w:r w:rsidRPr="00DE408F">
              <w:t>.</w:t>
            </w:r>
          </w:p>
        </w:tc>
      </w:tr>
      <w:tr w:rsidR="00490591" w14:paraId="74F95246" w14:textId="77777777" w:rsidTr="008E2ED1">
        <w:trPr>
          <w:cantSplit/>
        </w:trPr>
        <w:tc>
          <w:tcPr>
            <w:tcW w:w="1924" w:type="pct"/>
          </w:tcPr>
          <w:p w14:paraId="54B59F3E" w14:textId="77777777" w:rsidR="00490591" w:rsidRDefault="00490591" w:rsidP="00490591">
            <w:pPr>
              <w:pStyle w:val="TitlePagetext"/>
            </w:pPr>
            <w:r>
              <w:t>Land description</w:t>
            </w:r>
          </w:p>
        </w:tc>
        <w:tc>
          <w:tcPr>
            <w:tcW w:w="3076" w:type="pct"/>
          </w:tcPr>
          <w:p w14:paraId="784A228F" w14:textId="3CFEABAA" w:rsidR="00DF5C3F" w:rsidRDefault="00DF5C3F" w:rsidP="00DF5C3F">
            <w:pPr>
              <w:pStyle w:val="TitlePagetext"/>
            </w:pPr>
            <w:r>
              <w:t>The subject site is located on the north side of Woonah Street, opposite Margot Street, with the rail reserve to its north.</w:t>
            </w:r>
          </w:p>
          <w:p w14:paraId="75D1D6B9" w14:textId="77777777" w:rsidR="00DF5C3F" w:rsidRDefault="00DF5C3F" w:rsidP="00DF5C3F">
            <w:pPr>
              <w:pStyle w:val="TitlePagetext"/>
            </w:pPr>
            <w:r>
              <w:t xml:space="preserve">It is rectangular in shape, with a frontage of 15.24 metres, a depth of 38.75 metres and a total area of 590.6 square metres. </w:t>
            </w:r>
          </w:p>
          <w:p w14:paraId="5651C036" w14:textId="0058E054" w:rsidR="00DF5C3F" w:rsidRDefault="004D26EC" w:rsidP="00DF5C3F">
            <w:pPr>
              <w:pStyle w:val="TitlePagetext"/>
            </w:pPr>
            <w:r>
              <w:t xml:space="preserve">A </w:t>
            </w:r>
            <w:r w:rsidR="00DF5C3F">
              <w:t xml:space="preserve">1.83 metre wide </w:t>
            </w:r>
            <w:r>
              <w:t xml:space="preserve">easement </w:t>
            </w:r>
            <w:r w:rsidR="00DF5C3F">
              <w:t>runs along the rear boundary of the site.</w:t>
            </w:r>
          </w:p>
          <w:p w14:paraId="1947BC40" w14:textId="6CA29802" w:rsidR="00DF5C3F" w:rsidRDefault="00DF5C3F" w:rsidP="00DF5C3F">
            <w:pPr>
              <w:pStyle w:val="TitlePagetext"/>
            </w:pPr>
            <w:r>
              <w:t>The site is currently vacant with an existing vehicle crossing at the western end of the frontage. To its east are two double</w:t>
            </w:r>
            <w:r w:rsidR="00B60DEA">
              <w:t>-</w:t>
            </w:r>
            <w:r>
              <w:t>storey dwellings recently constructed in a tandem arrangement and to its west is an original single dwelling.</w:t>
            </w:r>
          </w:p>
          <w:p w14:paraId="56AAE3FD" w14:textId="033E215B" w:rsidR="00490591" w:rsidRPr="00851E10" w:rsidRDefault="00DF5C3F" w:rsidP="00DF5C3F">
            <w:pPr>
              <w:pStyle w:val="TitlePagetext"/>
            </w:pPr>
            <w:r>
              <w:t>A</w:t>
            </w:r>
            <w:r w:rsidR="00490591">
              <w:t xml:space="preserve">n aerial </w:t>
            </w:r>
            <w:r w:rsidR="006837AA">
              <w:t xml:space="preserve">image </w:t>
            </w:r>
            <w:r w:rsidR="00490591">
              <w:t>of the subject site is included below.</w:t>
            </w:r>
            <w:r w:rsidR="00490591">
              <w:rPr>
                <w:rStyle w:val="FootnoteReference"/>
              </w:rPr>
              <w:footnoteReference w:id="1"/>
            </w:r>
          </w:p>
        </w:tc>
      </w:tr>
      <w:tr w:rsidR="00490591" w14:paraId="4CCBC105" w14:textId="77777777" w:rsidTr="008E2ED1">
        <w:trPr>
          <w:cantSplit/>
        </w:trPr>
        <w:tc>
          <w:tcPr>
            <w:tcW w:w="1924" w:type="pct"/>
          </w:tcPr>
          <w:p w14:paraId="1BD640D1" w14:textId="77777777" w:rsidR="00490591" w:rsidRDefault="00490591" w:rsidP="00490591">
            <w:pPr>
              <w:pStyle w:val="TitlePagetext"/>
            </w:pPr>
            <w:r>
              <w:t>Tribunal inspection</w:t>
            </w:r>
          </w:p>
        </w:tc>
        <w:tc>
          <w:tcPr>
            <w:tcW w:w="3076" w:type="pct"/>
          </w:tcPr>
          <w:p w14:paraId="05814F4C" w14:textId="6C8D75EE" w:rsidR="00490591" w:rsidRPr="00851E10" w:rsidRDefault="00490591" w:rsidP="00490591">
            <w:pPr>
              <w:pStyle w:val="TitlePagetext"/>
            </w:pPr>
            <w:r w:rsidRPr="00015E18">
              <w:t>Following the hearing, I undertook an unaccompanied inspection of the subject site and surrounding area.</w:t>
            </w:r>
          </w:p>
        </w:tc>
      </w:tr>
    </w:tbl>
    <w:p w14:paraId="3FB8AF50" w14:textId="29977447" w:rsidR="00DE01F8" w:rsidRDefault="00433767" w:rsidP="001E5F05">
      <w:pPr>
        <w:pStyle w:val="Order1"/>
      </w:pPr>
      <w:r>
        <w:rPr>
          <w:noProof/>
        </w:rPr>
        <w:lastRenderedPageBreak/>
        <w:drawing>
          <wp:anchor distT="0" distB="0" distL="114300" distR="114300" simplePos="0" relativeHeight="251660288" behindDoc="1" locked="0" layoutInCell="1" allowOverlap="1" wp14:anchorId="325488D5" wp14:editId="4E0C8C72">
            <wp:simplePos x="0" y="0"/>
            <wp:positionH relativeFrom="column">
              <wp:posOffset>5183505</wp:posOffset>
            </wp:positionH>
            <wp:positionV relativeFrom="paragraph">
              <wp:posOffset>8459470</wp:posOffset>
            </wp:positionV>
            <wp:extent cx="1080000" cy="1080000"/>
            <wp:effectExtent l="0" t="0" r="6350" b="6350"/>
            <wp:wrapNone/>
            <wp:docPr id="6" name="VCAT Seal3"/>
            <wp:cNvGraphicFramePr/>
            <a:graphic xmlns:a="http://schemas.openxmlformats.org/drawingml/2006/main">
              <a:graphicData uri="http://schemas.openxmlformats.org/drawingml/2006/picture">
                <pic:pic xmlns:pic="http://schemas.openxmlformats.org/drawingml/2006/picture">
                  <pic:nvPicPr>
                    <pic:cNvPr id="6" name="VCAT Seal3"/>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p>
    <w:p w14:paraId="4044E609" w14:textId="0B290012" w:rsidR="006837AA" w:rsidRDefault="006837AA" w:rsidP="001E5F05">
      <w:pPr>
        <w:pStyle w:val="Order1"/>
      </w:pPr>
      <w:r>
        <w:rPr>
          <w:noProof/>
        </w:rPr>
        <w:drawing>
          <wp:inline distT="0" distB="0" distL="0" distR="0" wp14:anchorId="3EF463FE" wp14:editId="1977FA78">
            <wp:extent cx="5400675" cy="565975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675" cy="5659755"/>
                    </a:xfrm>
                    <a:prstGeom prst="rect">
                      <a:avLst/>
                    </a:prstGeom>
                  </pic:spPr>
                </pic:pic>
              </a:graphicData>
            </a:graphic>
          </wp:inline>
        </w:drawing>
      </w:r>
    </w:p>
    <w:p w14:paraId="2B2A6961" w14:textId="66588644" w:rsidR="00DE01F8" w:rsidRDefault="00DE01F8" w:rsidP="001E5F05">
      <w:pPr>
        <w:pStyle w:val="Heading1"/>
      </w:pPr>
      <w:r>
        <w:br w:type="page"/>
      </w:r>
      <w:r w:rsidR="00433767">
        <w:rPr>
          <w:noProof/>
        </w:rPr>
        <w:lastRenderedPageBreak/>
        <w:drawing>
          <wp:anchor distT="0" distB="0" distL="114300" distR="114300" simplePos="0" relativeHeight="251661312" behindDoc="1" locked="0" layoutInCell="1" allowOverlap="1" wp14:anchorId="6D23C521" wp14:editId="07AC518A">
            <wp:simplePos x="0" y="0"/>
            <wp:positionH relativeFrom="column">
              <wp:posOffset>5183505</wp:posOffset>
            </wp:positionH>
            <wp:positionV relativeFrom="paragraph">
              <wp:posOffset>8459470</wp:posOffset>
            </wp:positionV>
            <wp:extent cx="1080000" cy="1080000"/>
            <wp:effectExtent l="0" t="0" r="6350" b="6350"/>
            <wp:wrapNone/>
            <wp:docPr id="7" name="VCAT Seal4"/>
            <wp:cNvGraphicFramePr/>
            <a:graphic xmlns:a="http://schemas.openxmlformats.org/drawingml/2006/main">
              <a:graphicData uri="http://schemas.openxmlformats.org/drawingml/2006/picture">
                <pic:pic xmlns:pic="http://schemas.openxmlformats.org/drawingml/2006/picture">
                  <pic:nvPicPr>
                    <pic:cNvPr id="7" name="VCAT Seal4"/>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Reasons</w:t>
      </w:r>
      <w:r>
        <w:rPr>
          <w:rStyle w:val="FootnoteReference"/>
        </w:rPr>
        <w:footnoteReference w:id="2"/>
      </w:r>
    </w:p>
    <w:p w14:paraId="3789139E" w14:textId="77777777" w:rsidR="0053071D" w:rsidRDefault="0053071D" w:rsidP="0053071D">
      <w:pPr>
        <w:pStyle w:val="Heading2"/>
      </w:pPr>
      <w:r>
        <w:t>What is this proceeding about?</w:t>
      </w:r>
    </w:p>
    <w:p w14:paraId="0B919933" w14:textId="77777777" w:rsidR="005E6F3E" w:rsidRDefault="0053071D" w:rsidP="0053071D">
      <w:pPr>
        <w:pStyle w:val="Para1"/>
        <w:spacing w:before="60"/>
        <w:ind w:hanging="562"/>
      </w:pPr>
      <w:r>
        <w:t xml:space="preserve">The </w:t>
      </w:r>
      <w:r w:rsidR="00EC3FFC">
        <w:t>a</w:t>
      </w:r>
      <w:r>
        <w:t xml:space="preserve">pplicant proposes to develop two </w:t>
      </w:r>
      <w:r w:rsidR="00EC3FFC">
        <w:t>double-</w:t>
      </w:r>
      <w:r>
        <w:t>storey dwellings in a side by side arrangement</w:t>
      </w:r>
      <w:r w:rsidR="005E6F3E">
        <w:t xml:space="preserve"> on the subject site, with a basement garage provided via a single crossover to provide parking for both dwellings.</w:t>
      </w:r>
    </w:p>
    <w:p w14:paraId="4182AF8F" w14:textId="77777777" w:rsidR="005E6F3E" w:rsidRDefault="005E6F3E" w:rsidP="0053071D">
      <w:pPr>
        <w:pStyle w:val="Para1"/>
        <w:spacing w:before="60"/>
        <w:ind w:hanging="562"/>
      </w:pPr>
      <w:r>
        <w:t>The council determined to refuse to grant a permit for the following reasons:</w:t>
      </w:r>
    </w:p>
    <w:p w14:paraId="5A2F4BCE" w14:textId="1D918DAC" w:rsidR="005E6F3E" w:rsidRDefault="005E6F3E" w:rsidP="005E6F3E">
      <w:pPr>
        <w:pStyle w:val="Quote1"/>
        <w:ind w:left="1701" w:hanging="567"/>
      </w:pPr>
      <w:r>
        <w:t xml:space="preserve">1. </w:t>
      </w:r>
      <w:r>
        <w:tab/>
        <w:t>The proposal is inconsistent with neighbourhood character objectives of Clause 55.02-1 of the Monash Planning Scheme.</w:t>
      </w:r>
    </w:p>
    <w:p w14:paraId="272CAA43" w14:textId="66403F85" w:rsidR="005E6F3E" w:rsidRDefault="005E6F3E" w:rsidP="005E6F3E">
      <w:pPr>
        <w:pStyle w:val="Quote1"/>
        <w:ind w:left="1701" w:hanging="567"/>
      </w:pPr>
      <w:r>
        <w:t xml:space="preserve">2. </w:t>
      </w:r>
      <w:r>
        <w:tab/>
        <w:t>The proposal is inconsistent with design detail objectives of Clause 55.06-1 of the Monash Planning Scheme.</w:t>
      </w:r>
    </w:p>
    <w:p w14:paraId="65DC31E7" w14:textId="0CC2A932" w:rsidR="005E6F3E" w:rsidRDefault="005E6F3E" w:rsidP="005E6F3E">
      <w:pPr>
        <w:pStyle w:val="Quote1"/>
        <w:ind w:left="1701" w:hanging="567"/>
      </w:pPr>
      <w:r>
        <w:t xml:space="preserve">3. </w:t>
      </w:r>
      <w:r>
        <w:tab/>
        <w:t>The proposal is inconsistent with Clause 22.01 (Residential Development and Character Policy) of the Monash Planning Scheme.</w:t>
      </w:r>
    </w:p>
    <w:p w14:paraId="24C1E2DE" w14:textId="025E153E" w:rsidR="005E6F3E" w:rsidRDefault="005E6F3E" w:rsidP="005E6F3E">
      <w:pPr>
        <w:pStyle w:val="Quote1"/>
        <w:ind w:left="1701" w:hanging="567"/>
      </w:pPr>
      <w:r>
        <w:t xml:space="preserve">4. </w:t>
      </w:r>
      <w:r>
        <w:tab/>
        <w:t>The proposal is an inappropriate design response having regard to neighbourhood character and residential policy.</w:t>
      </w:r>
    </w:p>
    <w:p w14:paraId="6FDC36ED" w14:textId="6EBEE965" w:rsidR="005E6F3E" w:rsidRDefault="005E6F3E" w:rsidP="005E6F3E">
      <w:pPr>
        <w:pStyle w:val="Quote1"/>
        <w:ind w:left="1701" w:hanging="567"/>
      </w:pPr>
      <w:r>
        <w:t xml:space="preserve">5. </w:t>
      </w:r>
      <w:r>
        <w:tab/>
        <w:t>The proposed design would not allow for the overall development to comply with the landscaping objectives of Clause 55.03-8 of the Monash Planning Scheme.</w:t>
      </w:r>
    </w:p>
    <w:p w14:paraId="4B204566" w14:textId="466A9EE1" w:rsidR="005E6F3E" w:rsidRDefault="005E6F3E" w:rsidP="005E6F3E">
      <w:pPr>
        <w:pStyle w:val="Quote1"/>
        <w:ind w:left="1701" w:hanging="567"/>
      </w:pPr>
      <w:r>
        <w:t xml:space="preserve">6. </w:t>
      </w:r>
      <w:r>
        <w:tab/>
        <w:t>The proposal does not comply with the design standards contained in Clause 52.06-9 of the Monash Planning Scheme as there is a reliance on reversing into garages and corrective manoeuvres, and the basement ramp is not provided with transition grades at either ends of the ramp.</w:t>
      </w:r>
    </w:p>
    <w:p w14:paraId="6DBA52D7" w14:textId="353A195E" w:rsidR="005E6F3E" w:rsidRDefault="005E6F3E" w:rsidP="005E6F3E">
      <w:pPr>
        <w:pStyle w:val="Quote1"/>
        <w:ind w:left="1701" w:hanging="567"/>
      </w:pPr>
      <w:r>
        <w:t xml:space="preserve">7. </w:t>
      </w:r>
      <w:r>
        <w:tab/>
        <w:t>There is over-reliance on screening of windows which reduces internal amenity for future residents.</w:t>
      </w:r>
    </w:p>
    <w:p w14:paraId="13E6EB3E" w14:textId="1AAD2DF3" w:rsidR="005E6F3E" w:rsidRDefault="005E6F3E" w:rsidP="005E6F3E">
      <w:pPr>
        <w:pStyle w:val="Quote1"/>
        <w:ind w:left="1701" w:hanging="567"/>
      </w:pPr>
      <w:r>
        <w:t xml:space="preserve">8. </w:t>
      </w:r>
      <w:r>
        <w:tab/>
        <w:t>The proposal does not provide sufficient daylight to all new ground floor habitable room windows in accordance with the objectives of Clause 55.05-3 of the Monash Planning Scheme.</w:t>
      </w:r>
    </w:p>
    <w:p w14:paraId="5C52AFA5" w14:textId="729B58DB" w:rsidR="0053071D" w:rsidRDefault="005E6F3E" w:rsidP="005E6F3E">
      <w:pPr>
        <w:pStyle w:val="Quote1"/>
        <w:ind w:left="1701" w:hanging="567"/>
      </w:pPr>
      <w:r>
        <w:t xml:space="preserve">9. </w:t>
      </w:r>
      <w:r>
        <w:tab/>
        <w:t xml:space="preserve">The dwelling entries do not comply with the objective of Clause 55.05-2 of the Monash Planning Scheme. </w:t>
      </w:r>
    </w:p>
    <w:p w14:paraId="7B1E18C9" w14:textId="53C29415" w:rsidR="005E6F3E" w:rsidRDefault="005E6F3E" w:rsidP="0053071D">
      <w:pPr>
        <w:pStyle w:val="Para1"/>
        <w:spacing w:before="60"/>
        <w:ind w:hanging="562"/>
      </w:pPr>
      <w:r>
        <w:t>Prior to the Tribunal hearing, amended plans were circulated which have now been substituted for the application plans. These plans sought to address some of the council’s concerns and have successfully done so. The council confirmed at the commencement of the hearing that it no longer relies on grounds 2 and 8 and is satisfied that the basement ramp is now provided with transition grades and therefore relies only on the first part of ground 6.</w:t>
      </w:r>
      <w:r w:rsidR="009F685D">
        <w:t xml:space="preserve"> The council, in its submissions, also did not pursue ground 5.</w:t>
      </w:r>
    </w:p>
    <w:p w14:paraId="2DAAC251" w14:textId="1AB9E634" w:rsidR="00BE047E" w:rsidRDefault="00433767" w:rsidP="0053071D">
      <w:pPr>
        <w:pStyle w:val="Para1"/>
        <w:spacing w:before="60"/>
        <w:ind w:hanging="562"/>
      </w:pPr>
      <w:r>
        <w:rPr>
          <w:noProof/>
        </w:rPr>
        <w:lastRenderedPageBreak/>
        <w:drawing>
          <wp:anchor distT="0" distB="0" distL="114300" distR="114300" simplePos="0" relativeHeight="251662336" behindDoc="1" locked="0" layoutInCell="1" allowOverlap="1" wp14:anchorId="68C124A4" wp14:editId="63B2D961">
            <wp:simplePos x="0" y="0"/>
            <wp:positionH relativeFrom="column">
              <wp:posOffset>5183505</wp:posOffset>
            </wp:positionH>
            <wp:positionV relativeFrom="paragraph">
              <wp:posOffset>8459470</wp:posOffset>
            </wp:positionV>
            <wp:extent cx="1080000" cy="1080000"/>
            <wp:effectExtent l="0" t="0" r="6350" b="6350"/>
            <wp:wrapNone/>
            <wp:docPr id="8" name="VCAT Seal5"/>
            <wp:cNvGraphicFramePr/>
            <a:graphic xmlns:a="http://schemas.openxmlformats.org/drawingml/2006/main">
              <a:graphicData uri="http://schemas.openxmlformats.org/drawingml/2006/picture">
                <pic:pic xmlns:pic="http://schemas.openxmlformats.org/drawingml/2006/picture">
                  <pic:nvPicPr>
                    <pic:cNvPr id="8" name="VCAT Seal5"/>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53071D">
        <w:t xml:space="preserve">The </w:t>
      </w:r>
      <w:r w:rsidR="00BE047E">
        <w:t>a</w:t>
      </w:r>
      <w:r w:rsidR="0053071D">
        <w:t xml:space="preserve">pplicant contests the grounds of refusal and considers that the </w:t>
      </w:r>
      <w:r w:rsidR="00BE047E">
        <w:t xml:space="preserve">proposed </w:t>
      </w:r>
      <w:r w:rsidR="0053071D">
        <w:t xml:space="preserve">development </w:t>
      </w:r>
      <w:r w:rsidR="00BE047E">
        <w:t>is site responsive and represents an appropriate form of development in the well-serviced Chadstone area.</w:t>
      </w:r>
    </w:p>
    <w:p w14:paraId="15276249" w14:textId="34AE65FC" w:rsidR="0053071D" w:rsidRDefault="0053071D" w:rsidP="00473223">
      <w:pPr>
        <w:pStyle w:val="Para1"/>
      </w:pPr>
      <w:r>
        <w:t xml:space="preserve">I must determine </w:t>
      </w:r>
      <w:r w:rsidR="00BE047E">
        <w:t xml:space="preserve">whether the </w:t>
      </w:r>
      <w:r>
        <w:t xml:space="preserve">development </w:t>
      </w:r>
      <w:r w:rsidR="00BE047E">
        <w:t>provides an acceptable response</w:t>
      </w:r>
      <w:r>
        <w:t xml:space="preserve"> to its built form and policy contexts</w:t>
      </w:r>
      <w:r w:rsidR="00BE047E">
        <w:t xml:space="preserve">, whether it </w:t>
      </w:r>
      <w:r>
        <w:t>impose</w:t>
      </w:r>
      <w:r w:rsidR="00BE047E">
        <w:t>s</w:t>
      </w:r>
      <w:r>
        <w:t xml:space="preserve"> unacceptable amenity impacts on its neighbours</w:t>
      </w:r>
      <w:r w:rsidR="00BE047E">
        <w:t xml:space="preserve"> and whether it provides </w:t>
      </w:r>
      <w:r>
        <w:t>acceptable amenity for its future residents</w:t>
      </w:r>
      <w:r w:rsidR="00BE047E">
        <w:t>.</w:t>
      </w:r>
    </w:p>
    <w:p w14:paraId="22F23754" w14:textId="0DE4AC93" w:rsidR="0053071D" w:rsidRDefault="0053071D" w:rsidP="0053071D">
      <w:pPr>
        <w:pStyle w:val="Para1"/>
      </w:pPr>
      <w:r>
        <w:t xml:space="preserve">I must decide whether a permit should be granted and, if so, what conditions should be applied. Having considered </w:t>
      </w:r>
      <w:r w:rsidR="00BE047E">
        <w:t xml:space="preserve">the site context and the </w:t>
      </w:r>
      <w:r>
        <w:t xml:space="preserve">submissions presented with regard to the applicable policies and provisions of the </w:t>
      </w:r>
      <w:r w:rsidR="00BE047E">
        <w:t xml:space="preserve">Monash </w:t>
      </w:r>
      <w:r>
        <w:t>Planning Scheme</w:t>
      </w:r>
      <w:r w:rsidR="00BE047E">
        <w:t xml:space="preserve"> (</w:t>
      </w:r>
      <w:r w:rsidR="00BE047E" w:rsidRPr="00BE047E">
        <w:rPr>
          <w:b/>
          <w:bCs/>
        </w:rPr>
        <w:t>Scheme</w:t>
      </w:r>
      <w:r w:rsidR="00BE047E">
        <w:t>)</w:t>
      </w:r>
      <w:r w:rsidRPr="007A0479">
        <w:t xml:space="preserve">, I have decided to </w:t>
      </w:r>
      <w:r>
        <w:t xml:space="preserve">set aside </w:t>
      </w:r>
      <w:r w:rsidRPr="007A0479">
        <w:t>the decision</w:t>
      </w:r>
      <w:r>
        <w:t xml:space="preserve"> of the responsible authority and direct that a permit be granted. My reasons follow.</w:t>
      </w:r>
    </w:p>
    <w:p w14:paraId="2106AB40" w14:textId="37FE2C1B" w:rsidR="0053071D" w:rsidRDefault="0053071D" w:rsidP="00BE047E">
      <w:pPr>
        <w:pStyle w:val="Heading2"/>
      </w:pPr>
      <w:r>
        <w:t xml:space="preserve">Does the development </w:t>
      </w:r>
      <w:r w:rsidR="006E5807">
        <w:t xml:space="preserve">provide an acceptable </w:t>
      </w:r>
      <w:r>
        <w:t>respon</w:t>
      </w:r>
      <w:r w:rsidR="006E5807">
        <w:t>ce</w:t>
      </w:r>
      <w:r>
        <w:t xml:space="preserve"> to its built form and policy contexts?</w:t>
      </w:r>
    </w:p>
    <w:p w14:paraId="17E483E1" w14:textId="33832623" w:rsidR="0053071D" w:rsidRDefault="00BE047E" w:rsidP="00BE047E">
      <w:pPr>
        <w:pStyle w:val="Heading3"/>
      </w:pPr>
      <w:r>
        <w:t>The proposal</w:t>
      </w:r>
      <w:r w:rsidR="009F685D">
        <w:t xml:space="preserve"> and site context</w:t>
      </w:r>
    </w:p>
    <w:p w14:paraId="6906AA9C" w14:textId="3469FE37" w:rsidR="00BE047E" w:rsidRDefault="009F685D" w:rsidP="0053071D">
      <w:pPr>
        <w:pStyle w:val="Para1"/>
      </w:pPr>
      <w:r>
        <w:t>The proposal is to construct two double-storey dwellings in a side by side configuration with a basement car park. The basement is to be accessed by a ramp on the western side of the frontage in the location of the existing crossover and the building has been designed to be set back from both side boundaries with an appearance similar to that of a single dwelling. The street view of the proposal is included below.</w:t>
      </w:r>
    </w:p>
    <w:p w14:paraId="3F73BA8A" w14:textId="15E5D30E" w:rsidR="009F685D" w:rsidRDefault="009F685D" w:rsidP="009F685D">
      <w:pPr>
        <w:pStyle w:val="Para1"/>
        <w:numPr>
          <w:ilvl w:val="0"/>
          <w:numId w:val="0"/>
        </w:numPr>
        <w:ind w:left="567"/>
      </w:pPr>
      <w:r>
        <w:rPr>
          <w:noProof/>
        </w:rPr>
        <w:drawing>
          <wp:inline distT="0" distB="0" distL="0" distR="0" wp14:anchorId="2CDE7F07" wp14:editId="6891CCB9">
            <wp:extent cx="3406038" cy="2693994"/>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20573" cy="2705491"/>
                    </a:xfrm>
                    <a:prstGeom prst="rect">
                      <a:avLst/>
                    </a:prstGeom>
                  </pic:spPr>
                </pic:pic>
              </a:graphicData>
            </a:graphic>
          </wp:inline>
        </w:drawing>
      </w:r>
    </w:p>
    <w:p w14:paraId="5C5FFAC8" w14:textId="49DDD1D2" w:rsidR="009F685D" w:rsidRDefault="009F685D" w:rsidP="0053071D">
      <w:pPr>
        <w:pStyle w:val="Para1"/>
      </w:pPr>
      <w:r>
        <w:t xml:space="preserve">The maximum height of the dwellings is 7.935 metres and the site coverage is 49.32% with a garden area of 44%. Two car spaces and storage for each dwelling are provided in the basement, with stairs leading up to the ground floor. A guest bedroom and living, kitchen dining areas are located at </w:t>
      </w:r>
      <w:r w:rsidR="004D26EC">
        <w:t xml:space="preserve">the </w:t>
      </w:r>
      <w:r>
        <w:t xml:space="preserve">ground floor of each dwelling with the living area opening to a north facing deck and secluded private open space. Three bedrooms and two bathrooms are provided </w:t>
      </w:r>
      <w:r w:rsidR="004D26EC">
        <w:t xml:space="preserve">for each dwelling </w:t>
      </w:r>
      <w:r>
        <w:t>at first floor.</w:t>
      </w:r>
    </w:p>
    <w:p w14:paraId="3B62B17F" w14:textId="3F22143F" w:rsidR="004D26EC" w:rsidRDefault="00433767" w:rsidP="004D26EC">
      <w:pPr>
        <w:pStyle w:val="Para1"/>
      </w:pPr>
      <w:r>
        <w:rPr>
          <w:noProof/>
        </w:rPr>
        <w:lastRenderedPageBreak/>
        <w:drawing>
          <wp:anchor distT="0" distB="0" distL="114300" distR="114300" simplePos="0" relativeHeight="251663360" behindDoc="1" locked="0" layoutInCell="1" allowOverlap="1" wp14:anchorId="196F8716" wp14:editId="2879134A">
            <wp:simplePos x="0" y="0"/>
            <wp:positionH relativeFrom="column">
              <wp:posOffset>5183505</wp:posOffset>
            </wp:positionH>
            <wp:positionV relativeFrom="paragraph">
              <wp:posOffset>8459470</wp:posOffset>
            </wp:positionV>
            <wp:extent cx="1080000" cy="1080000"/>
            <wp:effectExtent l="0" t="0" r="6350" b="6350"/>
            <wp:wrapNone/>
            <wp:docPr id="9" name="VCAT Seal6"/>
            <wp:cNvGraphicFramePr/>
            <a:graphic xmlns:a="http://schemas.openxmlformats.org/drawingml/2006/main">
              <a:graphicData uri="http://schemas.openxmlformats.org/drawingml/2006/picture">
                <pic:pic xmlns:pic="http://schemas.openxmlformats.org/drawingml/2006/picture">
                  <pic:nvPicPr>
                    <pic:cNvPr id="9" name="VCAT Seal6"/>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4D26EC">
        <w:t>The site is well located in terms of access to facilities, services and transport.</w:t>
      </w:r>
    </w:p>
    <w:p w14:paraId="3F79A530" w14:textId="6AB45C37" w:rsidR="009F685D" w:rsidRDefault="009F685D" w:rsidP="0053071D">
      <w:pPr>
        <w:pStyle w:val="Para1"/>
      </w:pPr>
      <w:r>
        <w:t xml:space="preserve">The surrounding residential area </w:t>
      </w:r>
      <w:r w:rsidR="00554D35">
        <w:t>comprises a mix of original single</w:t>
      </w:r>
      <w:r w:rsidR="00B60DEA">
        <w:t>-</w:t>
      </w:r>
      <w:r w:rsidR="00554D35">
        <w:t>storey dwellings and newer dwellings, including predominantly double-storey dwellings and multi</w:t>
      </w:r>
      <w:r w:rsidR="00A40D23">
        <w:t>-</w:t>
      </w:r>
      <w:r w:rsidR="00554D35">
        <w:t xml:space="preserve">dwelling developments with </w:t>
      </w:r>
      <w:r w:rsidR="004D26EC">
        <w:t xml:space="preserve">many </w:t>
      </w:r>
      <w:r w:rsidR="00554D35">
        <w:t xml:space="preserve">double-storey dwellings in a tandem configuration. However, there are also examples of </w:t>
      </w:r>
      <w:r w:rsidR="000F22F5">
        <w:t xml:space="preserve">side by side double-storey dwelling developments in the neighbouring streets, often with two crossovers to the street. </w:t>
      </w:r>
    </w:p>
    <w:p w14:paraId="1B184A53" w14:textId="3EA90605" w:rsidR="00BE047E" w:rsidRDefault="00F861EE" w:rsidP="0053071D">
      <w:pPr>
        <w:pStyle w:val="Heading3"/>
      </w:pPr>
      <w:r>
        <w:t>The planning scheme</w:t>
      </w:r>
      <w:r w:rsidR="00BE047E">
        <w:t xml:space="preserve"> context</w:t>
      </w:r>
    </w:p>
    <w:p w14:paraId="7B97B403" w14:textId="3ABAD553" w:rsidR="00F861EE" w:rsidRDefault="00F861EE" w:rsidP="00F861EE">
      <w:pPr>
        <w:pStyle w:val="Para1"/>
      </w:pPr>
      <w:r>
        <w:t>The site is located in the General Residential Zone, Schedule 2 (</w:t>
      </w:r>
      <w:r w:rsidRPr="00F861EE">
        <w:rPr>
          <w:b/>
          <w:bCs/>
        </w:rPr>
        <w:t>GRZ2</w:t>
      </w:r>
      <w:r>
        <w:t xml:space="preserve">). A permit is required to construct two or more dwellings on a lot and the schedule includes variations to the clause 55 requirements of street setback, private open space and front fence height. </w:t>
      </w:r>
      <w:r w:rsidR="006E5807">
        <w:t>All of these varied requirements are met by the proposal and t</w:t>
      </w:r>
      <w:r>
        <w:t>here are no overlays affecting the site.</w:t>
      </w:r>
    </w:p>
    <w:p w14:paraId="6E84A2CB" w14:textId="0F1908BA" w:rsidR="00F861EE" w:rsidRDefault="00F861EE" w:rsidP="00BE047E">
      <w:pPr>
        <w:pStyle w:val="Para1"/>
      </w:pPr>
      <w:r>
        <w:t>The purpose of the GRZ2 includes encouraging development that respects the neighbourhood character and encouraging a diversity of housing types and housing</w:t>
      </w:r>
      <w:r w:rsidRPr="00F861EE">
        <w:t xml:space="preserve"> </w:t>
      </w:r>
      <w:r>
        <w:t>growth in locations offering good access to services and transport.</w:t>
      </w:r>
    </w:p>
    <w:p w14:paraId="24D956DF" w14:textId="3F2FE33D" w:rsidR="00F861EE" w:rsidRDefault="00F861EE" w:rsidP="00BE047E">
      <w:pPr>
        <w:pStyle w:val="Para1"/>
      </w:pPr>
      <w:r>
        <w:t xml:space="preserve">Clause 21.04 and 22.01 of the Scheme provide guidance as to the development objectives of the council with respect to different areas of the municipality. Within clause 21.04, the site is included in Category 2 – </w:t>
      </w:r>
      <w:r w:rsidR="00C1773B">
        <w:t>A</w:t>
      </w:r>
      <w:r>
        <w:t xml:space="preserve">ccessible </w:t>
      </w:r>
      <w:r w:rsidR="00C1773B">
        <w:t>A</w:t>
      </w:r>
      <w:r>
        <w:t>reas, and within clause 22.01, in Garden City Suburbs (Northern).</w:t>
      </w:r>
    </w:p>
    <w:p w14:paraId="6FB2012B" w14:textId="178B8A44" w:rsidR="00F861EE" w:rsidRDefault="00302D6C" w:rsidP="00BE047E">
      <w:pPr>
        <w:pStyle w:val="Para1"/>
      </w:pPr>
      <w:r>
        <w:t xml:space="preserve">Accessible areas are </w:t>
      </w:r>
      <w:r w:rsidR="00C1773B">
        <w:t xml:space="preserve">nominated as </w:t>
      </w:r>
      <w:r>
        <w:t>areas with future development potential, subject to a consideration of the character of the neighbourhood, as expressed in clause 22.01.</w:t>
      </w:r>
    </w:p>
    <w:p w14:paraId="6594BEEB" w14:textId="4EC3FD91" w:rsidR="00302D6C" w:rsidRDefault="00302D6C" w:rsidP="00BE047E">
      <w:pPr>
        <w:pStyle w:val="Para1"/>
      </w:pPr>
      <w:r>
        <w:t>The preferred future character statement applicable to the subject site is reproduced below. A significant proportion of land within the municipality is included within the Garden City Suburbs Northern area.</w:t>
      </w:r>
    </w:p>
    <w:p w14:paraId="1710C43A" w14:textId="632A1A4F" w:rsidR="00302D6C" w:rsidRDefault="00302D6C" w:rsidP="00302D6C">
      <w:pPr>
        <w:pStyle w:val="Quote1"/>
      </w:pPr>
      <w:r>
        <w:t>Although there will be changes to some of the houses within this area, including the development of well-designed and sensitive unit development and, on suitable sites, some apartment development, these will take place within a pleasant leafy framework of well-vegetated front and rear gardens and large canopy trees.</w:t>
      </w:r>
    </w:p>
    <w:p w14:paraId="67F7FABF" w14:textId="77777777" w:rsidR="00D702F4" w:rsidRDefault="00302D6C" w:rsidP="00302D6C">
      <w:pPr>
        <w:pStyle w:val="Quote1"/>
      </w:pPr>
      <w:r>
        <w:t xml:space="preserve">Setbacks will be generous and consistent within individual streets. Building heights will vary between neighbourhoods. Neighbourhoods with diverse topography and a well-developed mature tree canopy will have a larger proportion of two storey buildings. In the lower, less wooded areas, buildings will be mainly low rise unless existing vegetation or a gradation in height softens the scale contrast between buildings. New development will complement the established buildings through consistent siting, articulated facades and use of materials. </w:t>
      </w:r>
    </w:p>
    <w:p w14:paraId="51350ABA" w14:textId="55FF37FC" w:rsidR="00302D6C" w:rsidRDefault="00302D6C" w:rsidP="00302D6C">
      <w:pPr>
        <w:pStyle w:val="Quote1"/>
      </w:pPr>
      <w:r>
        <w:t xml:space="preserve">New development will consider energy efficiency and sustainability principles. Long expanses of blank wall will be avoided, particularly </w:t>
      </w:r>
      <w:r w:rsidR="00433767">
        <w:rPr>
          <w:noProof/>
        </w:rPr>
        <w:lastRenderedPageBreak/>
        <w:drawing>
          <wp:anchor distT="0" distB="0" distL="114300" distR="114300" simplePos="0" relativeHeight="251664384" behindDoc="1" locked="0" layoutInCell="1" allowOverlap="1" wp14:anchorId="3B13996F" wp14:editId="40E87145">
            <wp:simplePos x="0" y="0"/>
            <wp:positionH relativeFrom="column">
              <wp:posOffset>5183505</wp:posOffset>
            </wp:positionH>
            <wp:positionV relativeFrom="paragraph">
              <wp:posOffset>8459470</wp:posOffset>
            </wp:positionV>
            <wp:extent cx="1080000" cy="1080000"/>
            <wp:effectExtent l="0" t="0" r="6350" b="6350"/>
            <wp:wrapNone/>
            <wp:docPr id="10" name="VCAT Seal7"/>
            <wp:cNvGraphicFramePr/>
            <a:graphic xmlns:a="http://schemas.openxmlformats.org/drawingml/2006/main">
              <a:graphicData uri="http://schemas.openxmlformats.org/drawingml/2006/picture">
                <pic:pic xmlns:pic="http://schemas.openxmlformats.org/drawingml/2006/picture">
                  <pic:nvPicPr>
                    <pic:cNvPr id="10" name="VCAT Seal7"/>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when adjacent to public parks, reserves and other open space areas, where the building should address the public area.</w:t>
      </w:r>
    </w:p>
    <w:p w14:paraId="77BCAE32" w14:textId="444F38C7" w:rsidR="00302D6C" w:rsidRDefault="00302D6C" w:rsidP="00302D6C">
      <w:pPr>
        <w:pStyle w:val="Quote1"/>
      </w:pPr>
      <w:r>
        <w:t>Architecture, including new buildings and extensions, will usually be secondary in visual significance to the landscape of the area when viewed from the street. New development will be screened from the street and neighbouring properties by well planted gardens that will ensure the soft leafy nature of the street is retained.</w:t>
      </w:r>
    </w:p>
    <w:p w14:paraId="41EEE295" w14:textId="07F10FF3" w:rsidR="00302D6C" w:rsidRDefault="00302D6C" w:rsidP="00302D6C">
      <w:pPr>
        <w:pStyle w:val="Quote1"/>
      </w:pPr>
      <w:r>
        <w:t>Gardens will consist of open lawns, planted with a mix of native and exotic vegetation and trees. Existing mature trees and shrubs will be retained and additional tree planting within streets and private gardens will add to the tree canopy of the area.</w:t>
      </w:r>
    </w:p>
    <w:p w14:paraId="025DCB31" w14:textId="6481C17B" w:rsidR="00302D6C" w:rsidRDefault="00302D6C" w:rsidP="00302D6C">
      <w:pPr>
        <w:pStyle w:val="Quote1"/>
      </w:pPr>
      <w:r>
        <w:t>Buildings will be clearly visible through these low garden settings, and nonexistent or transparent front fences. Additional vehicle crossovers will be discouraged.</w:t>
      </w:r>
    </w:p>
    <w:p w14:paraId="5B5CE422" w14:textId="49FF0FBC" w:rsidR="00302D6C" w:rsidRDefault="00302D6C" w:rsidP="00302D6C">
      <w:pPr>
        <w:pStyle w:val="Quote1"/>
      </w:pPr>
      <w:r>
        <w:t>The built-form will be visually unified by well-planted front gardens that contain large trees and shrubs and street tree planting. Trees within lots to be redeveloped will be retained wherever possible to maintain the established leafy character.</w:t>
      </w:r>
    </w:p>
    <w:p w14:paraId="03B204C4" w14:textId="2A793B5E" w:rsidR="00302D6C" w:rsidRDefault="00302D6C" w:rsidP="00302D6C">
      <w:pPr>
        <w:pStyle w:val="Quote1"/>
      </w:pPr>
      <w:r>
        <w:t>Landscape elements such as remnant indigenous vegetation and the large old coniferous wind-rows will be retained until trees are no longer healthy or safe.</w:t>
      </w:r>
    </w:p>
    <w:p w14:paraId="1C3D13FC" w14:textId="2BFE1B32" w:rsidR="00800591" w:rsidRDefault="00800591" w:rsidP="00BE047E">
      <w:pPr>
        <w:pStyle w:val="Para1"/>
      </w:pPr>
      <w:r>
        <w:t xml:space="preserve">The following relevant context was also raised </w:t>
      </w:r>
      <w:r w:rsidR="00302D6C">
        <w:t>by the applicant</w:t>
      </w:r>
      <w:r>
        <w:t>:</w:t>
      </w:r>
      <w:r w:rsidRPr="00800591">
        <w:rPr>
          <w:rStyle w:val="FootnoteReference"/>
        </w:rPr>
        <w:t xml:space="preserve"> </w:t>
      </w:r>
      <w:r>
        <w:rPr>
          <w:rStyle w:val="FootnoteReference"/>
        </w:rPr>
        <w:footnoteReference w:id="3"/>
      </w:r>
    </w:p>
    <w:p w14:paraId="10C35A6F" w14:textId="77777777" w:rsidR="00800591" w:rsidRDefault="00800591" w:rsidP="00800591">
      <w:pPr>
        <w:pStyle w:val="Quote1"/>
      </w:pPr>
      <w:r>
        <w:t xml:space="preserve">Based on the Residential Framework Map in Clause 21.04 </w:t>
      </w:r>
      <w:r w:rsidR="00302D6C">
        <w:t xml:space="preserve">the Holmesglen Neighbourhood Activity Centre area extends east approximately to Collins Street. The subject site is within approximately 300 metres of the Activity Centre area and forms part of this transition to the Garden City Suburbs area further east on the other side of Power Avenue. </w:t>
      </w:r>
    </w:p>
    <w:p w14:paraId="5B4F540B" w14:textId="4E66255B" w:rsidR="00302D6C" w:rsidRPr="00BE047E" w:rsidRDefault="00302D6C" w:rsidP="00800591">
      <w:pPr>
        <w:pStyle w:val="Quote1"/>
      </w:pPr>
      <w:r>
        <w:t>Greater density, change and diversity of housing is encouraged in this location, balanced by need to respond to character of the area.</w:t>
      </w:r>
    </w:p>
    <w:p w14:paraId="778D58D7" w14:textId="04962226" w:rsidR="00BE047E" w:rsidRDefault="00BE047E" w:rsidP="0053071D">
      <w:pPr>
        <w:pStyle w:val="Heading3"/>
      </w:pPr>
      <w:r>
        <w:t>Tribunal consideration</w:t>
      </w:r>
    </w:p>
    <w:p w14:paraId="4F2D1E24" w14:textId="37F818FC" w:rsidR="00BE047E" w:rsidRDefault="00BE047E" w:rsidP="00BE047E">
      <w:pPr>
        <w:pStyle w:val="Para1"/>
      </w:pPr>
      <w:r>
        <w:t xml:space="preserve">This council has, over many years, clearly established the priorities for the municipality and championed the concept of the garden city character. It is well understood that Monash City Council highly values </w:t>
      </w:r>
      <w:r w:rsidR="00455D10">
        <w:t xml:space="preserve">the vegetation found in both public and private space </w:t>
      </w:r>
      <w:r>
        <w:t xml:space="preserve">and </w:t>
      </w:r>
      <w:r w:rsidR="00455D10">
        <w:t xml:space="preserve">considers that </w:t>
      </w:r>
      <w:r>
        <w:t xml:space="preserve">space </w:t>
      </w:r>
      <w:r w:rsidR="00455D10">
        <w:t xml:space="preserve">for </w:t>
      </w:r>
      <w:r>
        <w:t>provision of landscaping</w:t>
      </w:r>
      <w:r w:rsidR="00455D10">
        <w:t xml:space="preserve"> should be maximised in a development site</w:t>
      </w:r>
      <w:r>
        <w:t>, particularly in front and rear setbacks.</w:t>
      </w:r>
    </w:p>
    <w:p w14:paraId="613E0DBB" w14:textId="77777777" w:rsidR="00D702F4" w:rsidRDefault="00D702F4">
      <w:r>
        <w:br w:type="page"/>
      </w:r>
    </w:p>
    <w:p w14:paraId="43E35D54" w14:textId="4170C412" w:rsidR="00455D10" w:rsidRDefault="00433767" w:rsidP="00BE047E">
      <w:pPr>
        <w:pStyle w:val="Para1"/>
      </w:pPr>
      <w:r>
        <w:rPr>
          <w:noProof/>
        </w:rPr>
        <w:lastRenderedPageBreak/>
        <w:drawing>
          <wp:anchor distT="0" distB="0" distL="114300" distR="114300" simplePos="0" relativeHeight="251665408" behindDoc="1" locked="0" layoutInCell="1" allowOverlap="1" wp14:anchorId="1E1EB96A" wp14:editId="4905C2CA">
            <wp:simplePos x="0" y="0"/>
            <wp:positionH relativeFrom="column">
              <wp:posOffset>5183505</wp:posOffset>
            </wp:positionH>
            <wp:positionV relativeFrom="paragraph">
              <wp:posOffset>8459470</wp:posOffset>
            </wp:positionV>
            <wp:extent cx="1080000" cy="1080000"/>
            <wp:effectExtent l="0" t="0" r="6350" b="6350"/>
            <wp:wrapNone/>
            <wp:docPr id="11" name="VCAT Seal8"/>
            <wp:cNvGraphicFramePr/>
            <a:graphic xmlns:a="http://schemas.openxmlformats.org/drawingml/2006/main">
              <a:graphicData uri="http://schemas.openxmlformats.org/drawingml/2006/picture">
                <pic:pic xmlns:pic="http://schemas.openxmlformats.org/drawingml/2006/picture">
                  <pic:nvPicPr>
                    <pic:cNvPr id="11" name="VCAT Seal8"/>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455D10">
        <w:t xml:space="preserve">Where two or more dwellings are proposed on a site, the council has consistently expressed a clear preference for dwellings to be sited one behind the other in order to use only one crossover for vehicular access, thereby minimising space within the frontage for hard surface and maximising opportunities for landscaping. </w:t>
      </w:r>
    </w:p>
    <w:p w14:paraId="3E13A27D" w14:textId="030073FE" w:rsidR="00455D10" w:rsidRDefault="00455D10" w:rsidP="00BE047E">
      <w:pPr>
        <w:pStyle w:val="Para1"/>
      </w:pPr>
      <w:r>
        <w:t xml:space="preserve">Consistent with the council policy, this proposal includes only one crossover. However, the design proposes a side by side dwelling arrangement with a shared basement and single ramp access to that basement. The consequence of this is that the rear private open space and living areas of both dwellings face north and will benefit from maximum sunlight. The rear of the site also faces a railway reserve rather than built form, </w:t>
      </w:r>
      <w:r w:rsidR="003F763B">
        <w:t>providing unobstructed light to the private open space</w:t>
      </w:r>
      <w:r>
        <w:t>.</w:t>
      </w:r>
    </w:p>
    <w:p w14:paraId="36F1EB31" w14:textId="79D87A4F" w:rsidR="00F46571" w:rsidRDefault="00455D10" w:rsidP="00BE047E">
      <w:pPr>
        <w:pStyle w:val="Para1"/>
      </w:pPr>
      <w:r>
        <w:t xml:space="preserve">This design has taken the council’s preference for a single crossover but has provided it within a form </w:t>
      </w:r>
      <w:r w:rsidR="009C5F38">
        <w:t xml:space="preserve">that allows two dwellings directly facing the street. While the council submitted that this is unusual and inconsistent with the neighbourhood character of the area, the applicant brought several examples of similar development within the neighbouring streets. </w:t>
      </w:r>
    </w:p>
    <w:p w14:paraId="3D097983" w14:textId="19A75492" w:rsidR="00F46571" w:rsidRDefault="00F46571" w:rsidP="00BE047E">
      <w:pPr>
        <w:pStyle w:val="Para1"/>
      </w:pPr>
      <w:r>
        <w:t xml:space="preserve">Where this proposal is distinguishable from the other examples brought is the introduction of the </w:t>
      </w:r>
      <w:r w:rsidR="00C1773B">
        <w:t xml:space="preserve">single </w:t>
      </w:r>
      <w:r>
        <w:t xml:space="preserve">basement ramp </w:t>
      </w:r>
      <w:r w:rsidR="00C1773B">
        <w:t xml:space="preserve">which allows space for </w:t>
      </w:r>
      <w:r>
        <w:t>planting within the front setback and does not require a second crossover or two garages within the dwelling frontage. While I agree with the council that a basement ramp is not a design feature of the area, respect for neighbourhood character does not mean that new design elements cannot be introduced into the neighbourhood.</w:t>
      </w:r>
    </w:p>
    <w:p w14:paraId="49BD26FF" w14:textId="3CF9AEFD" w:rsidR="00D702F4" w:rsidRDefault="00F46571" w:rsidP="00BE047E">
      <w:pPr>
        <w:pStyle w:val="Para1"/>
      </w:pPr>
      <w:r>
        <w:t xml:space="preserve">Aside from the basement ramp, this proposal, with its pitched roof form, maximum height below 8 metres, </w:t>
      </w:r>
      <w:r w:rsidR="006E5807">
        <w:t xml:space="preserve">lack of </w:t>
      </w:r>
      <w:r>
        <w:t>front fencing</w:t>
      </w:r>
      <w:r w:rsidR="006E5807">
        <w:t xml:space="preserve">, </w:t>
      </w:r>
      <w:r>
        <w:t>setbacks from both side boundaries</w:t>
      </w:r>
      <w:r w:rsidR="006E5807">
        <w:t xml:space="preserve"> and minimum front setback of 7.6 metres is </w:t>
      </w:r>
      <w:r w:rsidR="00C1773B">
        <w:t xml:space="preserve">generally </w:t>
      </w:r>
      <w:r w:rsidR="006E5807">
        <w:t xml:space="preserve">consistent with </w:t>
      </w:r>
      <w:r w:rsidR="00C1773B">
        <w:t xml:space="preserve">the zone requirements and local policy and with </w:t>
      </w:r>
      <w:r w:rsidR="006E5807">
        <w:t xml:space="preserve">other newer dwellings in the locality. The introduction of the basement allows for greater landscaping and less hard paving throughout the site than is generally required for multi-dwelling developments. </w:t>
      </w:r>
    </w:p>
    <w:p w14:paraId="3A82C5FD" w14:textId="0FCBE3FD" w:rsidR="006E5807" w:rsidRDefault="006E5807" w:rsidP="00BE047E">
      <w:pPr>
        <w:pStyle w:val="Para1"/>
      </w:pPr>
      <w:r>
        <w:t xml:space="preserve">The design of the dwellings, through the combined roof form, shared porch area and single driveway access, </w:t>
      </w:r>
      <w:r w:rsidR="00C1773B">
        <w:t xml:space="preserve">respects </w:t>
      </w:r>
      <w:r>
        <w:t>the detached character of dwellings found within the streetscape.</w:t>
      </w:r>
      <w:r w:rsidR="00CF3562">
        <w:t xml:space="preserve"> The built form and bulk of the proposal is </w:t>
      </w:r>
      <w:r w:rsidR="00C1773B">
        <w:t xml:space="preserve">also similar to </w:t>
      </w:r>
      <w:r w:rsidR="00CF3562">
        <w:t>that of other double-storey dwellings in the vicinity of the site, including those on the adjoining site to the east.</w:t>
      </w:r>
    </w:p>
    <w:p w14:paraId="242A501B" w14:textId="77777777" w:rsidR="00E9381F" w:rsidRDefault="006E5807" w:rsidP="00BE047E">
      <w:pPr>
        <w:pStyle w:val="Para1"/>
      </w:pPr>
      <w:r>
        <w:t xml:space="preserve">I note that the council referred to </w:t>
      </w:r>
      <w:r w:rsidR="00E9381F">
        <w:t xml:space="preserve">the following policy in </w:t>
      </w:r>
      <w:r>
        <w:t>clause 22.01-3</w:t>
      </w:r>
      <w:r w:rsidR="00E9381F">
        <w:t xml:space="preserve"> under the heading ‘site coverage and permeability’:</w:t>
      </w:r>
    </w:p>
    <w:p w14:paraId="64112670" w14:textId="440685D4" w:rsidR="006E5807" w:rsidRDefault="00E9381F" w:rsidP="00E9381F">
      <w:pPr>
        <w:pStyle w:val="Quote1"/>
      </w:pPr>
      <w:r>
        <w:t>Exclude hard paving such as car parking, turning circles, driveways and basement car parking within street setback areas.</w:t>
      </w:r>
      <w:r w:rsidR="006E5807">
        <w:t xml:space="preserve"> </w:t>
      </w:r>
    </w:p>
    <w:p w14:paraId="17F69AF7" w14:textId="77777777" w:rsidR="00D702F4" w:rsidRDefault="00D702F4">
      <w:r>
        <w:br w:type="page"/>
      </w:r>
    </w:p>
    <w:p w14:paraId="59206C81" w14:textId="342190FE" w:rsidR="00E9381F" w:rsidRDefault="00433767" w:rsidP="00910708">
      <w:pPr>
        <w:pStyle w:val="Para1"/>
      </w:pPr>
      <w:r>
        <w:rPr>
          <w:noProof/>
        </w:rPr>
        <w:lastRenderedPageBreak/>
        <w:drawing>
          <wp:anchor distT="0" distB="0" distL="114300" distR="114300" simplePos="0" relativeHeight="251666432" behindDoc="1" locked="0" layoutInCell="1" allowOverlap="1" wp14:anchorId="06C42D61" wp14:editId="3C170E06">
            <wp:simplePos x="0" y="0"/>
            <wp:positionH relativeFrom="column">
              <wp:posOffset>5183505</wp:posOffset>
            </wp:positionH>
            <wp:positionV relativeFrom="paragraph">
              <wp:posOffset>8459470</wp:posOffset>
            </wp:positionV>
            <wp:extent cx="1080000" cy="1080000"/>
            <wp:effectExtent l="0" t="0" r="6350" b="6350"/>
            <wp:wrapNone/>
            <wp:docPr id="12" name="VCAT Seal9"/>
            <wp:cNvGraphicFramePr/>
            <a:graphic xmlns:a="http://schemas.openxmlformats.org/drawingml/2006/main">
              <a:graphicData uri="http://schemas.openxmlformats.org/drawingml/2006/picture">
                <pic:pic xmlns:pic="http://schemas.openxmlformats.org/drawingml/2006/picture">
                  <pic:nvPicPr>
                    <pic:cNvPr id="12" name="VCAT Seal9"/>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9381F">
        <w:t xml:space="preserve">There is a difficulty that arises if this policy statement is read on its own. It appears to say that any form of car parking ought </w:t>
      </w:r>
      <w:r w:rsidR="00D702F4">
        <w:t xml:space="preserve">to </w:t>
      </w:r>
      <w:r w:rsidR="00E9381F">
        <w:t>be avoided on a site. Rather than focussing on this statement on its own to find that basement car parking is not appropriate, I prefer to read it in the context of the policy statements directly above and below that statement, being:</w:t>
      </w:r>
    </w:p>
    <w:p w14:paraId="5FAC8363" w14:textId="77777777" w:rsidR="00E9381F" w:rsidRDefault="00E9381F" w:rsidP="00E9381F">
      <w:pPr>
        <w:pStyle w:val="Quote1"/>
      </w:pPr>
      <w:r>
        <w:t xml:space="preserve">Ensure the extent of site coverage and hard paving respects the neighbourhood character. </w:t>
      </w:r>
    </w:p>
    <w:p w14:paraId="3D3BD1C6" w14:textId="2EBDBE30" w:rsidR="00E9381F" w:rsidRDefault="00E9381F" w:rsidP="00E9381F">
      <w:pPr>
        <w:pStyle w:val="Quote1"/>
      </w:pPr>
      <w:r>
        <w:t>Minimise hard paving throughout the site by limiting driveway widths and lengths, providing landscaping on both sides of driveways, and restricting the extent of paving within open space areas</w:t>
      </w:r>
    </w:p>
    <w:p w14:paraId="4D63219C" w14:textId="07339CE5" w:rsidR="00E9381F" w:rsidRDefault="00E9381F" w:rsidP="00BE047E">
      <w:pPr>
        <w:pStyle w:val="Para1"/>
      </w:pPr>
      <w:r>
        <w:t>I find that, when consider</w:t>
      </w:r>
      <w:r w:rsidR="00C1773B">
        <w:t xml:space="preserve">ing </w:t>
      </w:r>
      <w:r>
        <w:t xml:space="preserve">the entirety of the policy, the provision of a basement car park within this development is consistent with the intent of council policies concerning site coverage and permeability. </w:t>
      </w:r>
    </w:p>
    <w:p w14:paraId="324FB408" w14:textId="77777777" w:rsidR="00E9381F" w:rsidRDefault="00E9381F" w:rsidP="00BE047E">
      <w:pPr>
        <w:pStyle w:val="Para1"/>
      </w:pPr>
      <w:r>
        <w:t>In terms of the landscaping and open space areas provided by the proposal, as shown below, I find that they will contribute to the landscaped character of the area and that the rear, north-facing, private open spaces provided for each dwelling will provide a good amenity outcome for future residents.</w:t>
      </w:r>
    </w:p>
    <w:p w14:paraId="3BC34AFC" w14:textId="285F2929" w:rsidR="00BA5A84" w:rsidRDefault="00BA5A84" w:rsidP="00BA5A84">
      <w:pPr>
        <w:pStyle w:val="Para1"/>
        <w:numPr>
          <w:ilvl w:val="0"/>
          <w:numId w:val="0"/>
        </w:numPr>
        <w:ind w:firstLine="567"/>
      </w:pPr>
      <w:r>
        <w:rPr>
          <w:noProof/>
        </w:rPr>
        <w:drawing>
          <wp:inline distT="0" distB="0" distL="0" distR="0" wp14:anchorId="65BAE05C" wp14:editId="78102F03">
            <wp:extent cx="5318850" cy="2311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18850" cy="2311400"/>
                    </a:xfrm>
                    <a:prstGeom prst="rect">
                      <a:avLst/>
                    </a:prstGeom>
                  </pic:spPr>
                </pic:pic>
              </a:graphicData>
            </a:graphic>
          </wp:inline>
        </w:drawing>
      </w:r>
    </w:p>
    <w:p w14:paraId="19C0C0AE" w14:textId="77777777" w:rsidR="00D702F4" w:rsidRDefault="00E9381F" w:rsidP="00E9381F">
      <w:pPr>
        <w:pStyle w:val="Para1"/>
      </w:pPr>
      <w:r>
        <w:t>There was discussion during the hearing about whether some of the upper level windows shown as screened could be unscreened. I have not amended the screening as shown on the plans because neighbouring properties who were not party to the hearing may have relied on that screening to inform their decision not to object to the application.</w:t>
      </w:r>
      <w:r w:rsidR="003F763B">
        <w:t xml:space="preserve"> </w:t>
      </w:r>
    </w:p>
    <w:p w14:paraId="46E0D065" w14:textId="29AF2A84" w:rsidR="003F763B" w:rsidRDefault="003F763B" w:rsidP="00E9381F">
      <w:pPr>
        <w:pStyle w:val="Para1"/>
      </w:pPr>
      <w:r>
        <w:t>I have</w:t>
      </w:r>
      <w:r w:rsidR="00C1773B">
        <w:t>, however,</w:t>
      </w:r>
      <w:r>
        <w:t xml:space="preserve"> included a condition requiring consideration of alternative methods of screening that could retain views and openness for future residents while limiting overlooking of neighbouring properties.</w:t>
      </w:r>
      <w:r w:rsidR="00CF3562">
        <w:t xml:space="preserve"> This could be achieved, for example, by fixed external panels </w:t>
      </w:r>
      <w:r w:rsidR="00C1773B">
        <w:t xml:space="preserve">or louvres </w:t>
      </w:r>
      <w:r w:rsidR="00CF3562">
        <w:t>rather than opaque glazing.</w:t>
      </w:r>
    </w:p>
    <w:p w14:paraId="24A79C08" w14:textId="17BD8DFC" w:rsidR="00D702F4" w:rsidRDefault="00433767" w:rsidP="002F18C7">
      <w:pPr>
        <w:pStyle w:val="Para1"/>
      </w:pPr>
      <w:r>
        <w:t>I do not share the council’s concern that the dwelling entry objective and standard of clause 55.05-2 is not met. Although the doorways to the two dwellings are located next to each other, they are each proposed to have their own pedestrian pathway and porch area and separate spaces for letter boxes. I am satisfied that each dwelling will have its own sense of identity.</w:t>
      </w:r>
      <w:r w:rsidR="00D702F4">
        <w:br w:type="page"/>
      </w:r>
    </w:p>
    <w:p w14:paraId="0290DC8C" w14:textId="1C4A6E87" w:rsidR="00CF3562" w:rsidRDefault="00433767" w:rsidP="00E9381F">
      <w:pPr>
        <w:pStyle w:val="Para1"/>
      </w:pPr>
      <w:r>
        <w:rPr>
          <w:noProof/>
        </w:rPr>
        <w:lastRenderedPageBreak/>
        <w:drawing>
          <wp:anchor distT="0" distB="0" distL="114300" distR="114300" simplePos="0" relativeHeight="251667456" behindDoc="1" locked="0" layoutInCell="1" allowOverlap="1" wp14:anchorId="6E7F020A" wp14:editId="2135F270">
            <wp:simplePos x="0" y="0"/>
            <wp:positionH relativeFrom="column">
              <wp:posOffset>5183505</wp:posOffset>
            </wp:positionH>
            <wp:positionV relativeFrom="paragraph">
              <wp:posOffset>8459470</wp:posOffset>
            </wp:positionV>
            <wp:extent cx="1080000" cy="1080000"/>
            <wp:effectExtent l="0" t="0" r="6350" b="6350"/>
            <wp:wrapNone/>
            <wp:docPr id="13" name="VCAT Seal10"/>
            <wp:cNvGraphicFramePr/>
            <a:graphic xmlns:a="http://schemas.openxmlformats.org/drawingml/2006/main">
              <a:graphicData uri="http://schemas.openxmlformats.org/drawingml/2006/picture">
                <pic:pic xmlns:pic="http://schemas.openxmlformats.org/drawingml/2006/picture">
                  <pic:nvPicPr>
                    <pic:cNvPr id="13" name="VCAT Seal10"/>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CF3562">
        <w:t xml:space="preserve">I </w:t>
      </w:r>
      <w:r>
        <w:t xml:space="preserve">find </w:t>
      </w:r>
      <w:r w:rsidR="00CF3562">
        <w:t xml:space="preserve">that the proposal </w:t>
      </w:r>
      <w:r>
        <w:t xml:space="preserve">provides an acceptable response to the Scheme and site context, </w:t>
      </w:r>
      <w:r w:rsidR="00CF3562">
        <w:t>would not impose unacceptable amenity impacts on neighbouring residents and would provide acceptable amenity for future residents.</w:t>
      </w:r>
      <w:r w:rsidR="00800591">
        <w:t xml:space="preserve"> </w:t>
      </w:r>
    </w:p>
    <w:p w14:paraId="1B93F300" w14:textId="77777777" w:rsidR="0053071D" w:rsidRDefault="0053071D" w:rsidP="0053071D">
      <w:pPr>
        <w:pStyle w:val="Heading3"/>
      </w:pPr>
      <w:r>
        <w:t>Would car parking and access be acceptable?</w:t>
      </w:r>
    </w:p>
    <w:p w14:paraId="546C855A" w14:textId="6F6B2141" w:rsidR="00F93286" w:rsidRDefault="00CF3562" w:rsidP="005144BD">
      <w:pPr>
        <w:pStyle w:val="Para1"/>
      </w:pPr>
      <w:r>
        <w:t xml:space="preserve">The council submitted that the car parking provided is ‘inadequate and unreasonably awkward’. </w:t>
      </w:r>
      <w:r w:rsidR="00F93286">
        <w:t>The swept path diagrams initially submitted with the application were not revised with the amended application plans and, therefore, the changed access to the basement had not been considered in the form of swept path diagrams. Following the hearing, new swept path diagrams were prepared to reflect the basement access as shown in the substituted plans. These confirmed that access was maintained to each garage and vehicles could adequately enter and exit the basement.</w:t>
      </w:r>
    </w:p>
    <w:p w14:paraId="6244B40C" w14:textId="6AEDD57C" w:rsidR="00F93286" w:rsidRDefault="00F93286" w:rsidP="00F93286">
      <w:pPr>
        <w:pStyle w:val="Para1"/>
      </w:pPr>
      <w:r>
        <w:t xml:space="preserve">Although vehicles will require corrective manoeuvres, including reversing, to enter and exit the spaces, these manoeuvres are acceptable in a residential basement garage with four car spaces serving only two properties. Vehicles can comfortably enter and exit the basement in a forward direction and there is sufficient room within the basement garage to </w:t>
      </w:r>
      <w:r w:rsidR="002E6810">
        <w:t>perform the vehicle movements required.</w:t>
      </w:r>
      <w:r>
        <w:t xml:space="preserve"> </w:t>
      </w:r>
    </w:p>
    <w:p w14:paraId="15DE1155" w14:textId="1BF74848" w:rsidR="0053071D" w:rsidRDefault="00CF3562" w:rsidP="0053071D">
      <w:pPr>
        <w:pStyle w:val="Para1"/>
      </w:pPr>
      <w:r>
        <w:t>I find that the car parking and access is acceptable.</w:t>
      </w:r>
    </w:p>
    <w:p w14:paraId="30EFD266" w14:textId="77777777" w:rsidR="0053071D" w:rsidRDefault="0053071D" w:rsidP="0053071D">
      <w:pPr>
        <w:pStyle w:val="Heading2"/>
      </w:pPr>
      <w:bookmarkStart w:id="1" w:name="_Hlk21607587"/>
      <w:r>
        <w:t>What conditions are appropriate?</w:t>
      </w:r>
    </w:p>
    <w:p w14:paraId="7B675E34" w14:textId="77777777" w:rsidR="0053071D" w:rsidRDefault="0053071D" w:rsidP="0053071D">
      <w:pPr>
        <w:pStyle w:val="Para1"/>
      </w:pPr>
      <w:r w:rsidRPr="00A81E96">
        <w:t>In determining the conditions of permit, I have had regard to the draft conditions discussed at the hearing and the submissions of the parties as well as the matters arising from my reasons above.</w:t>
      </w:r>
    </w:p>
    <w:p w14:paraId="4795F836" w14:textId="77777777" w:rsidR="0053071D" w:rsidRDefault="0053071D" w:rsidP="0053071D">
      <w:pPr>
        <w:pStyle w:val="Heading2"/>
      </w:pPr>
      <w:r>
        <w:t>Conclusion</w:t>
      </w:r>
    </w:p>
    <w:p w14:paraId="5F600B41" w14:textId="7BE7AADA" w:rsidR="0053071D" w:rsidRPr="00BA5A84" w:rsidRDefault="0053071D" w:rsidP="0053071D">
      <w:pPr>
        <w:pStyle w:val="Para1"/>
      </w:pPr>
      <w:r w:rsidRPr="00BA5A84">
        <w:t xml:space="preserve">For the reasons given above, the decision of the responsible authority is </w:t>
      </w:r>
      <w:r w:rsidR="00BA5A84" w:rsidRPr="00BA5A84">
        <w:t xml:space="preserve">set </w:t>
      </w:r>
      <w:r w:rsidRPr="00BA5A84">
        <w:t>aside. A permit is granted subject to conditions.</w:t>
      </w:r>
    </w:p>
    <w:bookmarkEnd w:id="1"/>
    <w:p w14:paraId="029C9C13" w14:textId="77777777" w:rsidR="0053071D" w:rsidRDefault="0053071D" w:rsidP="0053071D"/>
    <w:p w14:paraId="4D1C481D" w14:textId="77777777" w:rsidR="0053071D" w:rsidRDefault="0053071D" w:rsidP="0053071D"/>
    <w:p w14:paraId="510757C1" w14:textId="77777777" w:rsidR="0053071D" w:rsidRDefault="0053071D" w:rsidP="0053071D"/>
    <w:p w14:paraId="21BE6214" w14:textId="77777777" w:rsidR="0053071D" w:rsidRDefault="0053071D" w:rsidP="0053071D"/>
    <w:tbl>
      <w:tblPr>
        <w:tblW w:w="5000" w:type="pct"/>
        <w:tblLook w:val="0000" w:firstRow="0" w:lastRow="0" w:firstColumn="0" w:lastColumn="0" w:noHBand="0" w:noVBand="0"/>
      </w:tblPr>
      <w:tblGrid>
        <w:gridCol w:w="3423"/>
        <w:gridCol w:w="1659"/>
        <w:gridCol w:w="3423"/>
      </w:tblGrid>
      <w:tr w:rsidR="0053071D" w14:paraId="01A7B25E" w14:textId="77777777" w:rsidTr="009C1EB1">
        <w:tc>
          <w:tcPr>
            <w:tcW w:w="2012" w:type="pct"/>
          </w:tcPr>
          <w:p w14:paraId="1FC56060" w14:textId="77777777" w:rsidR="0053071D" w:rsidRPr="00B876A2" w:rsidRDefault="0053071D" w:rsidP="009C1EB1">
            <w:pPr>
              <w:rPr>
                <w:b/>
              </w:rPr>
            </w:pPr>
            <w:r>
              <w:rPr>
                <w:b/>
              </w:rPr>
              <w:t>Judith Perlstein</w:t>
            </w:r>
          </w:p>
          <w:p w14:paraId="720F04CF" w14:textId="77777777" w:rsidR="0053071D" w:rsidRDefault="0053071D" w:rsidP="009C1EB1">
            <w:pPr>
              <w:tabs>
                <w:tab w:val="left" w:pos="1515"/>
              </w:tabs>
              <w:rPr>
                <w:b/>
              </w:rPr>
            </w:pPr>
            <w:r>
              <w:rPr>
                <w:b/>
              </w:rPr>
              <w:t>Member</w:t>
            </w:r>
          </w:p>
        </w:tc>
        <w:tc>
          <w:tcPr>
            <w:tcW w:w="975" w:type="pct"/>
          </w:tcPr>
          <w:p w14:paraId="45387368" w14:textId="77777777" w:rsidR="0053071D" w:rsidRDefault="0053071D" w:rsidP="009C1EB1"/>
        </w:tc>
        <w:tc>
          <w:tcPr>
            <w:tcW w:w="2012" w:type="pct"/>
          </w:tcPr>
          <w:p w14:paraId="21B04083" w14:textId="77777777" w:rsidR="0053071D" w:rsidRDefault="0053071D" w:rsidP="009C1EB1"/>
        </w:tc>
      </w:tr>
    </w:tbl>
    <w:p w14:paraId="69565431" w14:textId="4D19966D" w:rsidR="00DE01F8" w:rsidRDefault="00DE01F8" w:rsidP="00D51457">
      <w:pPr>
        <w:pStyle w:val="Para1"/>
      </w:pPr>
      <w:r>
        <w:br w:type="page"/>
      </w:r>
    </w:p>
    <w:p w14:paraId="2FE8D9C2" w14:textId="4F43B0BB" w:rsidR="00DE01F8" w:rsidRDefault="00433767" w:rsidP="001E5F05">
      <w:pPr>
        <w:pStyle w:val="Heading1"/>
      </w:pPr>
      <w:r>
        <w:rPr>
          <w:noProof/>
        </w:rPr>
        <w:lastRenderedPageBreak/>
        <w:drawing>
          <wp:anchor distT="0" distB="0" distL="114300" distR="114300" simplePos="0" relativeHeight="251668480" behindDoc="1" locked="0" layoutInCell="1" allowOverlap="1" wp14:anchorId="72DFE8A5" wp14:editId="685ACF69">
            <wp:simplePos x="0" y="0"/>
            <wp:positionH relativeFrom="column">
              <wp:posOffset>5183505</wp:posOffset>
            </wp:positionH>
            <wp:positionV relativeFrom="paragraph">
              <wp:posOffset>8459470</wp:posOffset>
            </wp:positionV>
            <wp:extent cx="1080000" cy="1080000"/>
            <wp:effectExtent l="0" t="0" r="6350" b="6350"/>
            <wp:wrapNone/>
            <wp:docPr id="14" name="VCAT Seal11"/>
            <wp:cNvGraphicFramePr/>
            <a:graphic xmlns:a="http://schemas.openxmlformats.org/drawingml/2006/main">
              <a:graphicData uri="http://schemas.openxmlformats.org/drawingml/2006/picture">
                <pic:pic xmlns:pic="http://schemas.openxmlformats.org/drawingml/2006/picture">
                  <pic:nvPicPr>
                    <pic:cNvPr id="14" name="VCAT Seal11"/>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DE01F8">
        <w:t>Appendix A – Permit Conditions</w:t>
      </w:r>
    </w:p>
    <w:p w14:paraId="12F6A7EB" w14:textId="77777777" w:rsidR="00DE01F8" w:rsidRDefault="00DE01F8" w:rsidP="001E5F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7"/>
        <w:gridCol w:w="4768"/>
      </w:tblGrid>
      <w:tr w:rsidR="00DE01F8" w14:paraId="3FBB1572" w14:textId="77777777" w:rsidTr="008E2ED1">
        <w:tc>
          <w:tcPr>
            <w:tcW w:w="3731" w:type="dxa"/>
            <w:tcBorders>
              <w:top w:val="single" w:sz="4" w:space="0" w:color="auto"/>
              <w:left w:val="single" w:sz="4" w:space="0" w:color="auto"/>
              <w:bottom w:val="single" w:sz="4" w:space="0" w:color="auto"/>
              <w:right w:val="single" w:sz="4" w:space="0" w:color="auto"/>
            </w:tcBorders>
            <w:hideMark/>
          </w:tcPr>
          <w:p w14:paraId="1B949DF1" w14:textId="77777777" w:rsidR="00DE01F8" w:rsidRDefault="00DE01F8" w:rsidP="008E2ED1">
            <w:pPr>
              <w:pStyle w:val="TitlePage2"/>
            </w:pPr>
            <w:r>
              <w:t>Permit Application No:</w:t>
            </w:r>
          </w:p>
        </w:tc>
        <w:tc>
          <w:tcPr>
            <w:tcW w:w="4774" w:type="dxa"/>
            <w:tcBorders>
              <w:top w:val="single" w:sz="4" w:space="0" w:color="auto"/>
              <w:left w:val="single" w:sz="4" w:space="0" w:color="auto"/>
              <w:bottom w:val="single" w:sz="4" w:space="0" w:color="auto"/>
              <w:right w:val="single" w:sz="4" w:space="0" w:color="auto"/>
            </w:tcBorders>
          </w:tcPr>
          <w:p w14:paraId="2F7BE98A" w14:textId="6801D5D2" w:rsidR="00DE01F8" w:rsidRDefault="00DE01F8" w:rsidP="008E2ED1">
            <w:pPr>
              <w:pStyle w:val="TitlePagetext"/>
            </w:pPr>
            <w:r w:rsidRPr="00DE01F8">
              <w:t>TPA/50512</w:t>
            </w:r>
          </w:p>
        </w:tc>
      </w:tr>
      <w:tr w:rsidR="00DE01F8" w14:paraId="019844CD" w14:textId="77777777" w:rsidTr="008E2ED1">
        <w:tc>
          <w:tcPr>
            <w:tcW w:w="3731" w:type="dxa"/>
            <w:tcBorders>
              <w:top w:val="single" w:sz="4" w:space="0" w:color="auto"/>
              <w:left w:val="single" w:sz="4" w:space="0" w:color="auto"/>
              <w:bottom w:val="single" w:sz="4" w:space="0" w:color="auto"/>
              <w:right w:val="single" w:sz="4" w:space="0" w:color="auto"/>
            </w:tcBorders>
            <w:hideMark/>
          </w:tcPr>
          <w:p w14:paraId="073286BE" w14:textId="77777777" w:rsidR="00DE01F8" w:rsidRDefault="00DE01F8" w:rsidP="008E2ED1">
            <w:pPr>
              <w:pStyle w:val="TitlePage2"/>
            </w:pPr>
            <w:r>
              <w:t>Land:</w:t>
            </w:r>
          </w:p>
        </w:tc>
        <w:tc>
          <w:tcPr>
            <w:tcW w:w="4774" w:type="dxa"/>
            <w:tcBorders>
              <w:top w:val="single" w:sz="4" w:space="0" w:color="auto"/>
              <w:left w:val="single" w:sz="4" w:space="0" w:color="auto"/>
              <w:bottom w:val="single" w:sz="4" w:space="0" w:color="auto"/>
              <w:right w:val="single" w:sz="4" w:space="0" w:color="auto"/>
            </w:tcBorders>
          </w:tcPr>
          <w:p w14:paraId="3867CFB6" w14:textId="36DD246C" w:rsidR="00DE01F8" w:rsidRDefault="00DE01F8" w:rsidP="008E2ED1">
            <w:pPr>
              <w:pStyle w:val="TitlePagetext"/>
            </w:pPr>
            <w:r w:rsidRPr="00465662">
              <w:rPr>
                <w:noProof/>
              </w:rPr>
              <w:t>37 Woonah Street</w:t>
            </w:r>
            <w:r>
              <w:rPr>
                <w:noProof/>
              </w:rPr>
              <w:br/>
            </w:r>
            <w:r w:rsidRPr="00465662">
              <w:rPr>
                <w:noProof/>
              </w:rPr>
              <w:t>CHADSTONE  VIC  3148</w:t>
            </w:r>
          </w:p>
        </w:tc>
      </w:tr>
    </w:tbl>
    <w:p w14:paraId="49940B1E" w14:textId="77777777" w:rsidR="00DE01F8" w:rsidRDefault="00DE01F8" w:rsidP="001E5F05"/>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495"/>
      </w:tblGrid>
      <w:tr w:rsidR="00DE01F8" w14:paraId="4B8E1787" w14:textId="77777777" w:rsidTr="008E2ED1">
        <w:tc>
          <w:tcPr>
            <w:tcW w:w="8505" w:type="dxa"/>
            <w:tcBorders>
              <w:top w:val="single" w:sz="4" w:space="0" w:color="auto"/>
              <w:left w:val="single" w:sz="4" w:space="0" w:color="auto"/>
              <w:bottom w:val="nil"/>
              <w:right w:val="single" w:sz="4" w:space="0" w:color="auto"/>
            </w:tcBorders>
            <w:hideMark/>
          </w:tcPr>
          <w:p w14:paraId="4F7B62E7" w14:textId="77777777" w:rsidR="00DE01F8" w:rsidRDefault="00DE01F8" w:rsidP="008E2ED1">
            <w:pPr>
              <w:pStyle w:val="TitlePage2"/>
              <w:jc w:val="center"/>
              <w:rPr>
                <w:bCs/>
              </w:rPr>
            </w:pPr>
            <w:r>
              <w:rPr>
                <w:bCs/>
              </w:rPr>
              <w:t>What the permit allows</w:t>
            </w:r>
          </w:p>
        </w:tc>
      </w:tr>
      <w:tr w:rsidR="00DE01F8" w14:paraId="4016A37E" w14:textId="77777777" w:rsidTr="008E2ED1">
        <w:tc>
          <w:tcPr>
            <w:tcW w:w="8505" w:type="dxa"/>
            <w:tcBorders>
              <w:top w:val="nil"/>
              <w:left w:val="single" w:sz="4" w:space="0" w:color="auto"/>
              <w:bottom w:val="single" w:sz="4" w:space="0" w:color="auto"/>
              <w:right w:val="single" w:sz="4" w:space="0" w:color="auto"/>
            </w:tcBorders>
            <w:hideMark/>
          </w:tcPr>
          <w:p w14:paraId="25296731" w14:textId="77777777" w:rsidR="00DE01F8" w:rsidRDefault="00DE01F8" w:rsidP="008E2ED1">
            <w:pPr>
              <w:pStyle w:val="Order1"/>
            </w:pPr>
            <w:r>
              <w:t>In accordance with the endorsed plans:</w:t>
            </w:r>
          </w:p>
          <w:p w14:paraId="06AD4402" w14:textId="723B9B0E" w:rsidR="00DE01F8" w:rsidRPr="00800591" w:rsidRDefault="00800591" w:rsidP="00800591">
            <w:pPr>
              <w:pStyle w:val="Para5"/>
            </w:pPr>
            <w:r w:rsidRPr="00800591">
              <w:t xml:space="preserve">Construction of two dwellings on a lot in the General Residential Zone, Schedule 2. </w:t>
            </w:r>
          </w:p>
        </w:tc>
      </w:tr>
    </w:tbl>
    <w:p w14:paraId="23F32BEB" w14:textId="77777777" w:rsidR="00D702F4" w:rsidRDefault="00D702F4" w:rsidP="001E5F05">
      <w:pPr>
        <w:pStyle w:val="Heading2"/>
      </w:pPr>
    </w:p>
    <w:p w14:paraId="52283015" w14:textId="69ACC44A" w:rsidR="00DE01F8" w:rsidRDefault="00DE01F8" w:rsidP="001E5F05">
      <w:pPr>
        <w:pStyle w:val="Heading2"/>
      </w:pPr>
      <w:r>
        <w:t>Conditions:</w:t>
      </w:r>
    </w:p>
    <w:p w14:paraId="285E1FF9" w14:textId="7E66B08E" w:rsidR="00490591" w:rsidRDefault="00490591" w:rsidP="00490591">
      <w:pPr>
        <w:pStyle w:val="Condition2"/>
        <w:numPr>
          <w:ilvl w:val="0"/>
          <w:numId w:val="18"/>
        </w:numPr>
      </w:pPr>
      <w:r>
        <w:t xml:space="preserve">Before the development starts, amended plans to the satisfaction of the Responsible Authority must be submitted to and approved by the Responsible Authority.  The plans must be drawn to scale and dimensioned.  When the plans are endorsed they will then form part of the Permit.  The plans must be generally in accordance with the amended plans submitted to Council prepared by Roke Design Studio, Sheets 1-11, Revision TP-22 and dated 16.10.2020 but modified to show: </w:t>
      </w:r>
    </w:p>
    <w:p w14:paraId="123D453F" w14:textId="77777777" w:rsidR="00490591" w:rsidRDefault="00490591" w:rsidP="00490591">
      <w:pPr>
        <w:pStyle w:val="Condition2"/>
        <w:numPr>
          <w:ilvl w:val="1"/>
          <w:numId w:val="7"/>
        </w:numPr>
      </w:pPr>
      <w:r>
        <w:t xml:space="preserve">Corner splay notation updated to state: “Provision of a corner splay or area at least 50% clear of visual obstructions (or with a height of less than 1.2 metres), which may include adjacent landscaping areas with a height of less than 0.9 metres, extending at least 2.0 metres long x 2.5 metres deep (within the property) both sides or from the edge of the exit lane of each vehicle crossing to provide a clear view of pedestrians on the footpath of the frontage road.” </w:t>
      </w:r>
    </w:p>
    <w:p w14:paraId="3C58FEE5" w14:textId="30A04ADE" w:rsidR="00490591" w:rsidRDefault="00490591" w:rsidP="00490591">
      <w:pPr>
        <w:pStyle w:val="Condition2"/>
        <w:numPr>
          <w:ilvl w:val="1"/>
          <w:numId w:val="7"/>
        </w:numPr>
      </w:pPr>
      <w:r w:rsidRPr="00490591">
        <w:t xml:space="preserve">Street tree protection fence in accordance with Condition 5. </w:t>
      </w:r>
    </w:p>
    <w:p w14:paraId="0CAADDF6" w14:textId="45E35115" w:rsidR="006837AA" w:rsidRDefault="006837AA" w:rsidP="00281F86">
      <w:pPr>
        <w:pStyle w:val="Condition2"/>
        <w:numPr>
          <w:ilvl w:val="1"/>
          <w:numId w:val="7"/>
        </w:numPr>
      </w:pPr>
      <w:r>
        <w:t>The correct private open space area in accordance with the plan titled sheet 12 of 12, proposed dwelling one POS, dated 3 March 2021.</w:t>
      </w:r>
    </w:p>
    <w:p w14:paraId="3CAA70BD" w14:textId="7DC4CF6B" w:rsidR="003F763B" w:rsidRPr="00490591" w:rsidRDefault="007F4995" w:rsidP="00281F86">
      <w:pPr>
        <w:pStyle w:val="Condition2"/>
        <w:numPr>
          <w:ilvl w:val="1"/>
          <w:numId w:val="7"/>
        </w:numPr>
      </w:pPr>
      <w:r>
        <w:t>If possible, r</w:t>
      </w:r>
      <w:r w:rsidR="003F763B">
        <w:t xml:space="preserve">evised screening </w:t>
      </w:r>
      <w:r>
        <w:t xml:space="preserve">treatment </w:t>
      </w:r>
      <w:r w:rsidR="003F763B">
        <w:t xml:space="preserve">to upper level windows, in particular those facing north, to provide for views for future residents while still meeting the </w:t>
      </w:r>
      <w:r>
        <w:t>requirements of Standard B22 in clause 55.04-6 of the Monash Planning Scheme.</w:t>
      </w:r>
      <w:r w:rsidR="003F763B">
        <w:t xml:space="preserve"> </w:t>
      </w:r>
    </w:p>
    <w:p w14:paraId="22B34C56" w14:textId="77777777" w:rsidR="00490591" w:rsidRPr="00490591" w:rsidRDefault="00490591" w:rsidP="00490591">
      <w:pPr>
        <w:pStyle w:val="Condition2"/>
      </w:pPr>
      <w:r w:rsidRPr="00490591">
        <w:t xml:space="preserve">The development as shown on the endorsed plans must not be altered without the written consent of the Responsible Authority. </w:t>
      </w:r>
    </w:p>
    <w:p w14:paraId="0D3242F1" w14:textId="77777777" w:rsidR="00D702F4" w:rsidRDefault="00D702F4">
      <w:r>
        <w:br w:type="page"/>
      </w:r>
    </w:p>
    <w:p w14:paraId="27B1C89B" w14:textId="1EDD9132" w:rsidR="00490591" w:rsidRDefault="00433767" w:rsidP="00490591">
      <w:pPr>
        <w:pStyle w:val="Condition2"/>
      </w:pPr>
      <w:r>
        <w:rPr>
          <w:noProof/>
        </w:rPr>
        <w:lastRenderedPageBreak/>
        <w:drawing>
          <wp:anchor distT="0" distB="0" distL="114300" distR="114300" simplePos="0" relativeHeight="251669504" behindDoc="1" locked="0" layoutInCell="1" allowOverlap="1" wp14:anchorId="3517DEA4" wp14:editId="437A5BD5">
            <wp:simplePos x="0" y="0"/>
            <wp:positionH relativeFrom="column">
              <wp:posOffset>5183505</wp:posOffset>
            </wp:positionH>
            <wp:positionV relativeFrom="paragraph">
              <wp:posOffset>8459470</wp:posOffset>
            </wp:positionV>
            <wp:extent cx="1080000" cy="1080000"/>
            <wp:effectExtent l="0" t="0" r="6350" b="6350"/>
            <wp:wrapNone/>
            <wp:docPr id="15" name="VCAT Seal12"/>
            <wp:cNvGraphicFramePr/>
            <a:graphic xmlns:a="http://schemas.openxmlformats.org/drawingml/2006/main">
              <a:graphicData uri="http://schemas.openxmlformats.org/drawingml/2006/picture">
                <pic:pic xmlns:pic="http://schemas.openxmlformats.org/drawingml/2006/picture">
                  <pic:nvPicPr>
                    <pic:cNvPr id="15" name="VCAT Seal12"/>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490591" w:rsidRPr="00490591">
        <w:t>Concurrent with the endorsement of any plans pursuant to Condition 1, a landscape plan prepared by a Landscape Architect or a suitably qualified or experienced landscape</w:t>
      </w:r>
      <w:r w:rsidR="00490591">
        <w:t xml:space="preserve"> designer, drawn to scale and dimensioned must be submitted to and approved by the Responsible Authority.  When endorsed, the plan will form part of the Permit.  The Landscape Plan must be generally in accordance with the Landscape Plan dated October 2020, Prepared by Zenith Concepts Landscape Design, except that the plan must show: </w:t>
      </w:r>
    </w:p>
    <w:p w14:paraId="7369E63C" w14:textId="77777777" w:rsidR="00490591" w:rsidRPr="00490591" w:rsidRDefault="00490591" w:rsidP="00490591">
      <w:pPr>
        <w:pStyle w:val="Condition2"/>
        <w:numPr>
          <w:ilvl w:val="1"/>
          <w:numId w:val="7"/>
        </w:numPr>
      </w:pPr>
      <w:r w:rsidRPr="00490591">
        <w:t xml:space="preserve">Street tree protection fence in accordance with Condition 5. </w:t>
      </w:r>
    </w:p>
    <w:p w14:paraId="3737768B" w14:textId="77777777" w:rsidR="00490591" w:rsidRPr="00490591" w:rsidRDefault="00490591" w:rsidP="00490591">
      <w:pPr>
        <w:pStyle w:val="Condition2"/>
      </w:pPr>
      <w:r w:rsidRPr="00490591">
        <w:t xml:space="preserve">Before the occupation of the buildings allowed by this permit, landscaping works as shown on the endorsed plans must be completed to the satisfaction of the Responsible Authority and then maintained to the satisfaction of the Responsible Authority. </w:t>
      </w:r>
    </w:p>
    <w:p w14:paraId="678FEFB6" w14:textId="77777777" w:rsidR="00490591" w:rsidRPr="00490591" w:rsidRDefault="00490591" w:rsidP="00490591">
      <w:pPr>
        <w:pStyle w:val="Condition2"/>
      </w:pPr>
      <w:r w:rsidRPr="00490591">
        <w:t xml:space="preserve">Before any development (including demolition) starts on the land, a four-sided tree protection fence must be erected around the street tree to define a "Tree Protection Zone" at a distance of at least 2.5m measured from the trunk face. The tree protection fence must remain in place until all construction is completed on the land, except with the prior written consent of the Responsible Authority.   </w:t>
      </w:r>
    </w:p>
    <w:p w14:paraId="5963C139" w14:textId="77777777" w:rsidR="00490591" w:rsidRPr="00490591" w:rsidRDefault="00490591" w:rsidP="00490591">
      <w:pPr>
        <w:pStyle w:val="Condition2"/>
      </w:pPr>
      <w:r w:rsidRPr="00490591">
        <w:t xml:space="preserve">A plan detailing the drainage works must be submitted to the Engineering Division prior to the commencement of works.  The plans are to show sufficient information to determine that the drainage works will meet all drainage requirements of this permit. </w:t>
      </w:r>
    </w:p>
    <w:p w14:paraId="12E9BFBE" w14:textId="77777777" w:rsidR="00490591" w:rsidRPr="00490591" w:rsidRDefault="00490591" w:rsidP="00490591">
      <w:pPr>
        <w:pStyle w:val="Condition2"/>
      </w:pPr>
      <w:r w:rsidRPr="00490591">
        <w:t xml:space="preserve">All stormwater collected on the site from all hard surface areas must not be allowed to flow uncontrolled into adjoining properties or the road reserve. </w:t>
      </w:r>
    </w:p>
    <w:p w14:paraId="10B5F00E" w14:textId="77777777" w:rsidR="00490591" w:rsidRDefault="00490591" w:rsidP="00490591">
      <w:pPr>
        <w:pStyle w:val="Condition2"/>
      </w:pPr>
      <w:r w:rsidRPr="00490591">
        <w:t>The nominated point of stormwater</w:t>
      </w:r>
      <w:r>
        <w:t xml:space="preserve"> connection for the site is to the north-west corner of the property where the entire site's stormwater must be collected and free drained to the Council 225mm pipe located within the rear easement of via a 900x600mm junction pit to be constructed to Council standards. Note:  If the point of connection cannot be located then notify Council's Engineering Department immediately. </w:t>
      </w:r>
    </w:p>
    <w:p w14:paraId="03CD8112" w14:textId="77777777" w:rsidR="00490591" w:rsidRDefault="00490591" w:rsidP="00490591">
      <w:pPr>
        <w:pStyle w:val="Condition2"/>
      </w:pPr>
      <w:r>
        <w:t xml:space="preserve">Once the development has started it must be continued and completed to the satisfaction of the Responsible Authority. </w:t>
      </w:r>
    </w:p>
    <w:p w14:paraId="72DCB33A" w14:textId="77777777" w:rsidR="00D702F4" w:rsidRDefault="00D702F4">
      <w:r>
        <w:br w:type="page"/>
      </w:r>
    </w:p>
    <w:p w14:paraId="498EC5B3" w14:textId="564CE934" w:rsidR="00490591" w:rsidRDefault="00433767" w:rsidP="001D653C">
      <w:pPr>
        <w:pStyle w:val="Condition2"/>
      </w:pPr>
      <w:r>
        <w:rPr>
          <w:noProof/>
        </w:rPr>
        <w:lastRenderedPageBreak/>
        <w:drawing>
          <wp:anchor distT="0" distB="0" distL="114300" distR="114300" simplePos="0" relativeHeight="251670528" behindDoc="1" locked="0" layoutInCell="1" allowOverlap="1" wp14:anchorId="5F9B4AA1" wp14:editId="0AD24CE3">
            <wp:simplePos x="0" y="0"/>
            <wp:positionH relativeFrom="column">
              <wp:posOffset>5183505</wp:posOffset>
            </wp:positionH>
            <wp:positionV relativeFrom="paragraph">
              <wp:posOffset>8459470</wp:posOffset>
            </wp:positionV>
            <wp:extent cx="1080000" cy="1080000"/>
            <wp:effectExtent l="0" t="0" r="6350" b="6350"/>
            <wp:wrapNone/>
            <wp:docPr id="16" name="VCAT Seal13"/>
            <wp:cNvGraphicFramePr/>
            <a:graphic xmlns:a="http://schemas.openxmlformats.org/drawingml/2006/main">
              <a:graphicData uri="http://schemas.openxmlformats.org/drawingml/2006/picture">
                <pic:pic xmlns:pic="http://schemas.openxmlformats.org/drawingml/2006/picture">
                  <pic:nvPicPr>
                    <pic:cNvPr id="16" name="VCAT Seal13"/>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490591">
        <w:t xml:space="preserve">In accordance with section 68 of the </w:t>
      </w:r>
      <w:r w:rsidR="00490591" w:rsidRPr="00490591">
        <w:rPr>
          <w:i/>
          <w:iCs/>
        </w:rPr>
        <w:t>Planning and Environment Act 1987</w:t>
      </w:r>
      <w:r w:rsidR="00490591">
        <w:t xml:space="preserve">, this permit will expire if one of the following circumstances applies: </w:t>
      </w:r>
    </w:p>
    <w:p w14:paraId="02669FC5" w14:textId="77777777" w:rsidR="00490591" w:rsidRDefault="00490591" w:rsidP="001D653C">
      <w:pPr>
        <w:pStyle w:val="Condition2"/>
        <w:numPr>
          <w:ilvl w:val="1"/>
          <w:numId w:val="21"/>
        </w:numPr>
      </w:pPr>
      <w:r>
        <w:t xml:space="preserve">The development is not started before 2 years from the date of issue. </w:t>
      </w:r>
    </w:p>
    <w:p w14:paraId="0389526B" w14:textId="77777777" w:rsidR="00490591" w:rsidRDefault="00490591" w:rsidP="001D653C">
      <w:pPr>
        <w:pStyle w:val="Condition2"/>
        <w:numPr>
          <w:ilvl w:val="1"/>
          <w:numId w:val="21"/>
        </w:numPr>
      </w:pPr>
      <w:r>
        <w:t xml:space="preserve">The development is not completed before 4 years from the date of issue. </w:t>
      </w:r>
    </w:p>
    <w:p w14:paraId="0D5ADF55" w14:textId="77777777" w:rsidR="00490591" w:rsidRDefault="00490591" w:rsidP="00490591">
      <w:pPr>
        <w:pStyle w:val="Condition2"/>
        <w:numPr>
          <w:ilvl w:val="0"/>
          <w:numId w:val="0"/>
        </w:numPr>
        <w:ind w:left="567"/>
      </w:pPr>
      <w:r>
        <w:t xml:space="preserve">In accordance with section 69 of the </w:t>
      </w:r>
      <w:r w:rsidRPr="00490591">
        <w:rPr>
          <w:i/>
          <w:iCs/>
        </w:rPr>
        <w:t>Planning and Environment Act 1987</w:t>
      </w:r>
      <w:r>
        <w:t xml:space="preserve">, the responsible authority may extend the periods referred to if a request is made in writing before the permit expires, or. </w:t>
      </w:r>
    </w:p>
    <w:p w14:paraId="0500C21B" w14:textId="25BE3744" w:rsidR="00490591" w:rsidRDefault="00490591" w:rsidP="00490591">
      <w:pPr>
        <w:pStyle w:val="Condition2"/>
        <w:numPr>
          <w:ilvl w:val="1"/>
          <w:numId w:val="20"/>
        </w:numPr>
      </w:pPr>
      <w:r>
        <w:t xml:space="preserve">within six (6) months afterwards if the development has not commenced; or </w:t>
      </w:r>
    </w:p>
    <w:p w14:paraId="29DD5A39" w14:textId="77777777" w:rsidR="00490591" w:rsidRDefault="00490591" w:rsidP="00490591">
      <w:pPr>
        <w:pStyle w:val="Condition2"/>
        <w:numPr>
          <w:ilvl w:val="1"/>
          <w:numId w:val="20"/>
        </w:numPr>
      </w:pPr>
      <w:r>
        <w:t xml:space="preserve">within twelve (12) months afterwards if the development has not been completed. </w:t>
      </w:r>
    </w:p>
    <w:p w14:paraId="4FC2BDDD" w14:textId="4FEA731C" w:rsidR="00DE01F8" w:rsidRDefault="00490591" w:rsidP="00490591">
      <w:pPr>
        <w:pStyle w:val="Condition2"/>
        <w:numPr>
          <w:ilvl w:val="0"/>
          <w:numId w:val="0"/>
        </w:numPr>
        <w:ind w:left="567"/>
      </w:pPr>
      <w:r>
        <w:t xml:space="preserve">Council and the Victorian Civil and Administrative Tribunal are unable to approve requests outside of the relevant time frame. </w:t>
      </w:r>
    </w:p>
    <w:p w14:paraId="7CFAB101" w14:textId="77777777" w:rsidR="00DE01F8" w:rsidRDefault="00DE01F8" w:rsidP="001E5F05">
      <w:pPr>
        <w:pStyle w:val="Order1"/>
      </w:pPr>
    </w:p>
    <w:p w14:paraId="28C15FF9" w14:textId="6D204A25" w:rsidR="00DE01F8" w:rsidRDefault="00DE01F8" w:rsidP="001D653C">
      <w:pPr>
        <w:pStyle w:val="Order1"/>
        <w:jc w:val="center"/>
      </w:pPr>
      <w:r>
        <w:rPr>
          <w:b/>
        </w:rPr>
        <w:t>- End of conditions -</w:t>
      </w:r>
    </w:p>
    <w:sectPr w:rsidR="00DE01F8" w:rsidSect="001F58FE">
      <w:footerReference w:type="default" r:id="rId15"/>
      <w:type w:val="continuous"/>
      <w:pgSz w:w="11907" w:h="16840" w:code="9"/>
      <w:pgMar w:top="1134" w:right="1701" w:bottom="1276"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AEAFEF" w14:textId="77777777" w:rsidR="00DE01F8" w:rsidRDefault="00DE01F8">
      <w:r>
        <w:separator/>
      </w:r>
    </w:p>
  </w:endnote>
  <w:endnote w:type="continuationSeparator" w:id="0">
    <w:p w14:paraId="770B6D2F" w14:textId="77777777" w:rsidR="00DE01F8" w:rsidRDefault="00DE0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4" w:space="0" w:color="auto"/>
      </w:tblBorders>
      <w:tblLook w:val="0000" w:firstRow="0" w:lastRow="0" w:firstColumn="0" w:lastColumn="0" w:noHBand="0" w:noVBand="0"/>
    </w:tblPr>
    <w:tblGrid>
      <w:gridCol w:w="6607"/>
      <w:gridCol w:w="1898"/>
    </w:tblGrid>
    <w:tr w:rsidR="007F601B" w14:paraId="11B2FF5A" w14:textId="77777777">
      <w:trPr>
        <w:cantSplit/>
      </w:trPr>
      <w:tc>
        <w:tcPr>
          <w:tcW w:w="3884" w:type="pct"/>
        </w:tcPr>
        <w:p w14:paraId="322018D5" w14:textId="25E9FBAB" w:rsidR="007F601B" w:rsidRDefault="007F601B">
          <w:pPr>
            <w:pStyle w:val="Footer"/>
            <w:spacing w:beforeLines="60" w:before="144"/>
            <w:rPr>
              <w:rFonts w:cs="Arial"/>
              <w:sz w:val="18"/>
              <w:szCs w:val="18"/>
            </w:rPr>
          </w:pPr>
          <w:bookmarkStart w:id="2" w:name="FooterDescription"/>
          <w:bookmarkStart w:id="3" w:name="FooterFileNo1"/>
          <w:bookmarkEnd w:id="2"/>
          <w:bookmarkEnd w:id="3"/>
          <w:r>
            <w:rPr>
              <w:rFonts w:cs="Arial"/>
              <w:sz w:val="18"/>
              <w:szCs w:val="18"/>
            </w:rPr>
            <w:t xml:space="preserve">VCAT Reference No. </w:t>
          </w:r>
          <w:r w:rsidR="0053071D">
            <w:rPr>
              <w:noProof/>
              <w:sz w:val="18"/>
              <w:szCs w:val="18"/>
            </w:rPr>
            <w:t>P717/2020</w:t>
          </w:r>
        </w:p>
      </w:tc>
      <w:tc>
        <w:tcPr>
          <w:tcW w:w="1116" w:type="pct"/>
        </w:tcPr>
        <w:p w14:paraId="14656A7D" w14:textId="77777777" w:rsidR="007F601B" w:rsidRDefault="007F601B">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sidR="00427A16">
            <w:rPr>
              <w:rFonts w:cs="Arial"/>
              <w:noProof/>
              <w:sz w:val="18"/>
              <w:szCs w:val="18"/>
            </w:rPr>
            <w:t>4</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sidR="00427A16">
            <w:rPr>
              <w:rFonts w:cs="Arial"/>
              <w:noProof/>
              <w:sz w:val="18"/>
              <w:szCs w:val="18"/>
            </w:rPr>
            <w:t>4</w:t>
          </w:r>
          <w:r>
            <w:rPr>
              <w:rFonts w:cs="Arial"/>
              <w:sz w:val="18"/>
              <w:szCs w:val="18"/>
            </w:rPr>
            <w:fldChar w:fldCharType="end"/>
          </w:r>
        </w:p>
      </w:tc>
    </w:tr>
  </w:tbl>
  <w:p w14:paraId="1AFACD2E" w14:textId="77777777" w:rsidR="007F601B" w:rsidRDefault="007F601B">
    <w:pPr>
      <w:pStyle w:val="Footer"/>
      <w:rPr>
        <w:sz w:val="2"/>
      </w:rPr>
    </w:pPr>
  </w:p>
  <w:p w14:paraId="229E1B01" w14:textId="77777777" w:rsidR="007F601B" w:rsidRDefault="007F601B">
    <w:pPr>
      <w:rPr>
        <w:sz w:val="2"/>
      </w:rPr>
    </w:pPr>
  </w:p>
  <w:p w14:paraId="267EBF2B" w14:textId="77777777" w:rsidR="007F601B" w:rsidRDefault="007F601B">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BEA833" w14:textId="77777777" w:rsidR="00DE01F8" w:rsidRDefault="00DE01F8">
      <w:pPr>
        <w:pStyle w:val="Footer"/>
        <w:pBdr>
          <w:top w:val="single" w:sz="4" w:space="1" w:color="auto"/>
        </w:pBdr>
        <w:rPr>
          <w:sz w:val="12"/>
        </w:rPr>
      </w:pPr>
    </w:p>
  </w:footnote>
  <w:footnote w:type="continuationSeparator" w:id="0">
    <w:p w14:paraId="5BFFFE8A" w14:textId="77777777" w:rsidR="00DE01F8" w:rsidRDefault="00DE01F8">
      <w:r>
        <w:continuationSeparator/>
      </w:r>
    </w:p>
  </w:footnote>
  <w:footnote w:id="1">
    <w:p w14:paraId="1F54E3DD" w14:textId="0F7C18C3" w:rsidR="00490591" w:rsidRDefault="00490591" w:rsidP="00E816B7">
      <w:pPr>
        <w:pStyle w:val="FootnoteText"/>
      </w:pPr>
      <w:r>
        <w:rPr>
          <w:rStyle w:val="FootnoteReference"/>
        </w:rPr>
        <w:footnoteRef/>
      </w:r>
      <w:r>
        <w:t xml:space="preserve"> </w:t>
      </w:r>
      <w:r>
        <w:tab/>
        <w:t xml:space="preserve">From </w:t>
      </w:r>
      <w:hyperlink r:id="rId1" w:history="1">
        <w:r w:rsidRPr="000916E5">
          <w:rPr>
            <w:rStyle w:val="Hyperlink"/>
          </w:rPr>
          <w:t>www.nearmap.com.au</w:t>
        </w:r>
      </w:hyperlink>
      <w:r>
        <w:t xml:space="preserve">, taken on </w:t>
      </w:r>
      <w:r w:rsidR="006837AA">
        <w:t>22 January 2021</w:t>
      </w:r>
      <w:r>
        <w:t>.</w:t>
      </w:r>
    </w:p>
  </w:footnote>
  <w:footnote w:id="2">
    <w:p w14:paraId="69455B2F" w14:textId="595E7737" w:rsidR="00DE01F8" w:rsidRDefault="00DE01F8" w:rsidP="001E5F05">
      <w:pPr>
        <w:pStyle w:val="FootnoteText"/>
      </w:pPr>
      <w:r>
        <w:rPr>
          <w:rStyle w:val="FootnoteReference"/>
        </w:rPr>
        <w:footnoteRef/>
      </w:r>
      <w:r>
        <w:t xml:space="preserve"> </w:t>
      </w:r>
      <w:r>
        <w:tab/>
        <w:t>The submissions of the parties, any supporting exhibits given at the hearing, and the statements of grounds filed; have all been considered in the determination of the proceeding. In accordance with the practice of the Tribunal, not all of this material will be cited or referred to in these reasons.</w:t>
      </w:r>
      <w:r w:rsidRPr="00E62037">
        <w:t xml:space="preserve"> </w:t>
      </w:r>
    </w:p>
  </w:footnote>
  <w:footnote w:id="3">
    <w:p w14:paraId="618AFC4E" w14:textId="77777777" w:rsidR="00800591" w:rsidRDefault="00800591" w:rsidP="00800591">
      <w:pPr>
        <w:pStyle w:val="FootnoteText"/>
      </w:pPr>
      <w:r>
        <w:rPr>
          <w:rStyle w:val="FootnoteReference"/>
        </w:rPr>
        <w:footnoteRef/>
      </w:r>
      <w:r>
        <w:t xml:space="preserve"> </w:t>
      </w:r>
      <w:r>
        <w:tab/>
        <w:t xml:space="preserve">In the written submissions of the applicant, at [21-22].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2D0972"/>
    <w:multiLevelType w:val="multilevel"/>
    <w:tmpl w:val="E83AABAC"/>
    <w:lvl w:ilvl="0">
      <w:start w:val="1"/>
      <w:numFmt w:val="decimal"/>
      <w:lvlText w:val="%1"/>
      <w:lvlJc w:val="left"/>
      <w:pPr>
        <w:ind w:left="567" w:hanging="567"/>
      </w:pPr>
      <w:rPr>
        <w:rFonts w:hint="default"/>
      </w:rPr>
    </w:lvl>
    <w:lvl w:ilvl="1">
      <w:start w:val="1"/>
      <w:numFmt w:val="bullet"/>
      <w:lvlText w:val=""/>
      <w:lvlJc w:val="left"/>
      <w:pPr>
        <w:ind w:left="1134" w:hanging="567"/>
      </w:pPr>
      <w:rPr>
        <w:rFonts w:ascii="Symbol" w:hAnsi="Symbol" w:hint="default"/>
      </w:rPr>
    </w:lvl>
    <w:lvl w:ilvl="2">
      <w:start w:val="1"/>
      <w:numFmt w:val="lowerRoman"/>
      <w:lvlText w:val="%3"/>
      <w:lvlJc w:val="left"/>
      <w:pPr>
        <w:tabs>
          <w:tab w:val="num" w:pos="1134"/>
        </w:tabs>
        <w:ind w:left="1701" w:hanging="567"/>
      </w:pPr>
      <w:rPr>
        <w:rFonts w:hint="default"/>
      </w:rPr>
    </w:lvl>
    <w:lvl w:ilvl="3">
      <w:start w:val="1"/>
      <w:numFmt w:val="decimal"/>
      <w:lvlText w:val="(%4)"/>
      <w:lvlJc w:val="left"/>
      <w:pPr>
        <w:ind w:left="2268" w:hanging="567"/>
      </w:pPr>
      <w:rPr>
        <w:rFonts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AA62D53"/>
    <w:multiLevelType w:val="multilevel"/>
    <w:tmpl w:val="267CD746"/>
    <w:lvl w:ilvl="0">
      <w:start w:val="2"/>
      <w:numFmt w:val="decimal"/>
      <w:pStyle w:val="Order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sz w:val="2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 w15:restartNumberingAfterBreak="1">
    <w:nsid w:val="0AA81283"/>
    <w:multiLevelType w:val="hybridMultilevel"/>
    <w:tmpl w:val="E05CEAF0"/>
    <w:lvl w:ilvl="0" w:tplc="6D527BE2">
      <w:start w:val="1"/>
      <w:numFmt w:val="decimal"/>
      <w:pStyle w:val="Para1"/>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1">
    <w:nsid w:val="0B893A7F"/>
    <w:multiLevelType w:val="hybridMultilevel"/>
    <w:tmpl w:val="A59A9106"/>
    <w:lvl w:ilvl="0" w:tplc="767AA104">
      <w:start w:val="1"/>
      <w:numFmt w:val="lowerLetter"/>
      <w:pStyle w:val="Para4"/>
      <w:lvlText w:val="%1"/>
      <w:lvlJc w:val="left"/>
      <w:pPr>
        <w:tabs>
          <w:tab w:val="num" w:pos="1134"/>
        </w:tabs>
        <w:ind w:left="1134" w:hanging="567"/>
      </w:pPr>
      <w:rPr>
        <w:rFonts w:hint="default"/>
      </w:rPr>
    </w:lvl>
    <w:lvl w:ilvl="1" w:tplc="EA08CFEC">
      <w:start w:val="1"/>
      <w:numFmt w:val="bullet"/>
      <w:lvlText w:val=""/>
      <w:lvlJc w:val="left"/>
      <w:pPr>
        <w:tabs>
          <w:tab w:val="num" w:pos="1134"/>
        </w:tabs>
        <w:ind w:left="1134" w:hanging="567"/>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E0188D08">
      <w:start w:val="1"/>
      <w:numFmt w:val="lowerLetter"/>
      <w:pStyle w:val="Para4"/>
      <w:lvlText w:val="%5."/>
      <w:lvlJc w:val="left"/>
      <w:pPr>
        <w:tabs>
          <w:tab w:val="num" w:pos="1134"/>
        </w:tabs>
        <w:ind w:left="1134" w:hanging="567"/>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1">
    <w:nsid w:val="132A618D"/>
    <w:multiLevelType w:val="hybridMultilevel"/>
    <w:tmpl w:val="7B8887A4"/>
    <w:lvl w:ilvl="0" w:tplc="CE9239F4">
      <w:start w:val="1"/>
      <w:numFmt w:val="lowerRoman"/>
      <w:pStyle w:val="Para3"/>
      <w:lvlText w:val="%1"/>
      <w:lvlJc w:val="left"/>
      <w:pPr>
        <w:tabs>
          <w:tab w:val="num" w:pos="1135"/>
        </w:tabs>
        <w:ind w:left="1135" w:hanging="567"/>
      </w:pPr>
      <w:rPr>
        <w:rFonts w:hint="default"/>
      </w:rPr>
    </w:lvl>
    <w:lvl w:ilvl="1" w:tplc="04090019" w:tentative="1">
      <w:start w:val="1"/>
      <w:numFmt w:val="lowerLetter"/>
      <w:lvlText w:val="%2."/>
      <w:lvlJc w:val="left"/>
      <w:pPr>
        <w:tabs>
          <w:tab w:val="num" w:pos="307"/>
        </w:tabs>
        <w:ind w:left="307" w:hanging="360"/>
      </w:pPr>
    </w:lvl>
    <w:lvl w:ilvl="2" w:tplc="0409001B" w:tentative="1">
      <w:start w:val="1"/>
      <w:numFmt w:val="lowerRoman"/>
      <w:lvlText w:val="%3."/>
      <w:lvlJc w:val="right"/>
      <w:pPr>
        <w:tabs>
          <w:tab w:val="num" w:pos="1027"/>
        </w:tabs>
        <w:ind w:left="1027" w:hanging="180"/>
      </w:pPr>
    </w:lvl>
    <w:lvl w:ilvl="3" w:tplc="0409000F" w:tentative="1">
      <w:start w:val="1"/>
      <w:numFmt w:val="decimal"/>
      <w:lvlText w:val="%4."/>
      <w:lvlJc w:val="left"/>
      <w:pPr>
        <w:tabs>
          <w:tab w:val="num" w:pos="1747"/>
        </w:tabs>
        <w:ind w:left="1747" w:hanging="360"/>
      </w:pPr>
    </w:lvl>
    <w:lvl w:ilvl="4" w:tplc="04090019" w:tentative="1">
      <w:start w:val="1"/>
      <w:numFmt w:val="lowerLetter"/>
      <w:lvlText w:val="%5."/>
      <w:lvlJc w:val="left"/>
      <w:pPr>
        <w:tabs>
          <w:tab w:val="num" w:pos="2467"/>
        </w:tabs>
        <w:ind w:left="2467" w:hanging="360"/>
      </w:pPr>
    </w:lvl>
    <w:lvl w:ilvl="5" w:tplc="0409001B" w:tentative="1">
      <w:start w:val="1"/>
      <w:numFmt w:val="lowerRoman"/>
      <w:lvlText w:val="%6."/>
      <w:lvlJc w:val="right"/>
      <w:pPr>
        <w:tabs>
          <w:tab w:val="num" w:pos="3187"/>
        </w:tabs>
        <w:ind w:left="3187" w:hanging="180"/>
      </w:pPr>
    </w:lvl>
    <w:lvl w:ilvl="6" w:tplc="0409000F" w:tentative="1">
      <w:start w:val="1"/>
      <w:numFmt w:val="decimal"/>
      <w:lvlText w:val="%7."/>
      <w:lvlJc w:val="left"/>
      <w:pPr>
        <w:tabs>
          <w:tab w:val="num" w:pos="3907"/>
        </w:tabs>
        <w:ind w:left="3907" w:hanging="360"/>
      </w:pPr>
    </w:lvl>
    <w:lvl w:ilvl="7" w:tplc="04090019" w:tentative="1">
      <w:start w:val="1"/>
      <w:numFmt w:val="lowerLetter"/>
      <w:lvlText w:val="%8."/>
      <w:lvlJc w:val="left"/>
      <w:pPr>
        <w:tabs>
          <w:tab w:val="num" w:pos="4627"/>
        </w:tabs>
        <w:ind w:left="4627" w:hanging="360"/>
      </w:pPr>
    </w:lvl>
    <w:lvl w:ilvl="8" w:tplc="0409001B" w:tentative="1">
      <w:start w:val="1"/>
      <w:numFmt w:val="lowerRoman"/>
      <w:lvlText w:val="%9."/>
      <w:lvlJc w:val="right"/>
      <w:pPr>
        <w:tabs>
          <w:tab w:val="num" w:pos="5347"/>
        </w:tabs>
        <w:ind w:left="5347" w:hanging="180"/>
      </w:pPr>
    </w:lvl>
  </w:abstractNum>
  <w:abstractNum w:abstractNumId="5" w15:restartNumberingAfterBreak="1">
    <w:nsid w:val="15341DF6"/>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1">
    <w:nsid w:val="2AC456CB"/>
    <w:multiLevelType w:val="multilevel"/>
    <w:tmpl w:val="1DD82E34"/>
    <w:lvl w:ilvl="0">
      <w:start w:val="1"/>
      <w:numFmt w:val="decimal"/>
      <w:pStyle w:val="Condition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tabs>
          <w:tab w:val="num" w:pos="1134"/>
        </w:tabs>
        <w:ind w:left="1701" w:hanging="567"/>
      </w:pPr>
      <w:rPr>
        <w:rFonts w:hint="default"/>
      </w:rPr>
    </w:lvl>
    <w:lvl w:ilvl="3">
      <w:start w:val="1"/>
      <w:numFmt w:val="decimal"/>
      <w:lvlText w:val="(%4)"/>
      <w:lvlJc w:val="left"/>
      <w:pPr>
        <w:ind w:left="2268" w:hanging="567"/>
      </w:pPr>
      <w:rPr>
        <w:rFonts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1">
    <w:nsid w:val="2CCC3F95"/>
    <w:multiLevelType w:val="multilevel"/>
    <w:tmpl w:val="E83AABAC"/>
    <w:lvl w:ilvl="0">
      <w:start w:val="1"/>
      <w:numFmt w:val="decimal"/>
      <w:lvlText w:val="%1"/>
      <w:lvlJc w:val="left"/>
      <w:pPr>
        <w:ind w:left="567" w:hanging="567"/>
      </w:pPr>
      <w:rPr>
        <w:rFonts w:hint="default"/>
      </w:rPr>
    </w:lvl>
    <w:lvl w:ilvl="1">
      <w:start w:val="1"/>
      <w:numFmt w:val="bullet"/>
      <w:lvlText w:val=""/>
      <w:lvlJc w:val="left"/>
      <w:pPr>
        <w:ind w:left="1134" w:hanging="567"/>
      </w:pPr>
      <w:rPr>
        <w:rFonts w:ascii="Symbol" w:hAnsi="Symbol" w:hint="default"/>
      </w:rPr>
    </w:lvl>
    <w:lvl w:ilvl="2">
      <w:start w:val="1"/>
      <w:numFmt w:val="lowerRoman"/>
      <w:lvlText w:val="%3"/>
      <w:lvlJc w:val="left"/>
      <w:pPr>
        <w:tabs>
          <w:tab w:val="num" w:pos="1134"/>
        </w:tabs>
        <w:ind w:left="1701" w:hanging="567"/>
      </w:pPr>
      <w:rPr>
        <w:rFonts w:hint="default"/>
      </w:rPr>
    </w:lvl>
    <w:lvl w:ilvl="3">
      <w:start w:val="1"/>
      <w:numFmt w:val="decimal"/>
      <w:lvlText w:val="(%4)"/>
      <w:lvlJc w:val="left"/>
      <w:pPr>
        <w:ind w:left="2268" w:hanging="567"/>
      </w:pPr>
      <w:rPr>
        <w:rFonts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1">
    <w:nsid w:val="31A301F8"/>
    <w:multiLevelType w:val="hybridMultilevel"/>
    <w:tmpl w:val="81B0A810"/>
    <w:lvl w:ilvl="0" w:tplc="B338F3B0">
      <w:start w:val="1"/>
      <w:numFmt w:val="bullet"/>
      <w:pStyle w:val="Para5"/>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1">
    <w:nsid w:val="43474812"/>
    <w:multiLevelType w:val="multilevel"/>
    <w:tmpl w:val="8D2094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1">
    <w:nsid w:val="6D7864F7"/>
    <w:multiLevelType w:val="hybridMultilevel"/>
    <w:tmpl w:val="4DD8D500"/>
    <w:lvl w:ilvl="0" w:tplc="98A212C8">
      <w:numFmt w:val="bullet"/>
      <w:pStyle w:val="Quote3"/>
      <w:lvlText w:val=""/>
      <w:lvlJc w:val="left"/>
      <w:pPr>
        <w:tabs>
          <w:tab w:val="num" w:pos="1701"/>
        </w:tabs>
        <w:ind w:left="1701" w:hanging="567"/>
      </w:pPr>
      <w:rPr>
        <w:rFonts w:ascii="Symbol" w:eastAsia="Times New Roman" w:hAnsi="Symbol" w:cs="Times New Roman"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8"/>
  </w:num>
  <w:num w:numId="4">
    <w:abstractNumId w:val="10"/>
  </w:num>
  <w:num w:numId="5">
    <w:abstractNumId w:val="4"/>
  </w:num>
  <w:num w:numId="6">
    <w:abstractNumId w:val="5"/>
  </w:num>
  <w:num w:numId="7">
    <w:abstractNumId w:val="6"/>
  </w:num>
  <w:num w:numId="8">
    <w:abstractNumId w:val="1"/>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0"/>
  </w:num>
  <w:num w:numId="12">
    <w:abstractNumId w:val="9"/>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num>
  <w:num w:numId="17">
    <w:abstractNumId w:val="8"/>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PRLySEYA5WCMs+9HubU1wKgWMvoxqowON/Qpuz5zs/Px7YtoelfWGcNfAqrgeeNK/sbhXoXiU8IlsK0zDg2C2w==" w:salt="94iQxaENUVQC8yFRwHO3ew=="/>
  <w:defaultTabStop w:val="567"/>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6202B2C-F15B-4847-9A9E-C3CE7BDC2578}"/>
    <w:docVar w:name="dgnword-eventsink" w:val="373430936"/>
    <w:docVar w:name="VCAT Seal" w:val="True"/>
  </w:docVars>
  <w:rsids>
    <w:rsidRoot w:val="00211018"/>
    <w:rsid w:val="0001113F"/>
    <w:rsid w:val="00027F01"/>
    <w:rsid w:val="00061FEB"/>
    <w:rsid w:val="00062780"/>
    <w:rsid w:val="00063C31"/>
    <w:rsid w:val="000854CC"/>
    <w:rsid w:val="0008590B"/>
    <w:rsid w:val="000945F9"/>
    <w:rsid w:val="00094A20"/>
    <w:rsid w:val="000F22F5"/>
    <w:rsid w:val="000F4E28"/>
    <w:rsid w:val="0011395A"/>
    <w:rsid w:val="00124C1E"/>
    <w:rsid w:val="00152541"/>
    <w:rsid w:val="001567AE"/>
    <w:rsid w:val="0016093F"/>
    <w:rsid w:val="00163377"/>
    <w:rsid w:val="00167876"/>
    <w:rsid w:val="001708C4"/>
    <w:rsid w:val="0018330C"/>
    <w:rsid w:val="001D653C"/>
    <w:rsid w:val="001E49C7"/>
    <w:rsid w:val="001E5F05"/>
    <w:rsid w:val="001F2D3D"/>
    <w:rsid w:val="001F58FE"/>
    <w:rsid w:val="0020467C"/>
    <w:rsid w:val="00211018"/>
    <w:rsid w:val="0023472F"/>
    <w:rsid w:val="002728C8"/>
    <w:rsid w:val="0028144B"/>
    <w:rsid w:val="0028244B"/>
    <w:rsid w:val="00290F9B"/>
    <w:rsid w:val="00293A03"/>
    <w:rsid w:val="002A47E1"/>
    <w:rsid w:val="002A52E0"/>
    <w:rsid w:val="002B7051"/>
    <w:rsid w:val="002C4150"/>
    <w:rsid w:val="002D05B6"/>
    <w:rsid w:val="002E6810"/>
    <w:rsid w:val="002F27B5"/>
    <w:rsid w:val="00302D6C"/>
    <w:rsid w:val="00312D8A"/>
    <w:rsid w:val="0031301B"/>
    <w:rsid w:val="0032102D"/>
    <w:rsid w:val="0034213D"/>
    <w:rsid w:val="00361E5C"/>
    <w:rsid w:val="00361EF0"/>
    <w:rsid w:val="00372CF5"/>
    <w:rsid w:val="003813E9"/>
    <w:rsid w:val="0039315C"/>
    <w:rsid w:val="003B5E75"/>
    <w:rsid w:val="003D546E"/>
    <w:rsid w:val="003D7278"/>
    <w:rsid w:val="003E11C8"/>
    <w:rsid w:val="003E5440"/>
    <w:rsid w:val="003F763B"/>
    <w:rsid w:val="00426D8F"/>
    <w:rsid w:val="00427A16"/>
    <w:rsid w:val="00433767"/>
    <w:rsid w:val="00434BAA"/>
    <w:rsid w:val="00455D10"/>
    <w:rsid w:val="00467B86"/>
    <w:rsid w:val="00477574"/>
    <w:rsid w:val="00490591"/>
    <w:rsid w:val="004908EE"/>
    <w:rsid w:val="004919B5"/>
    <w:rsid w:val="00495762"/>
    <w:rsid w:val="004B3605"/>
    <w:rsid w:val="004C272B"/>
    <w:rsid w:val="004C5296"/>
    <w:rsid w:val="004D2122"/>
    <w:rsid w:val="004D26EC"/>
    <w:rsid w:val="004F54C1"/>
    <w:rsid w:val="00507771"/>
    <w:rsid w:val="00510802"/>
    <w:rsid w:val="0053071D"/>
    <w:rsid w:val="00554D35"/>
    <w:rsid w:val="005628C9"/>
    <w:rsid w:val="0058084D"/>
    <w:rsid w:val="0059145F"/>
    <w:rsid w:val="005B3D5D"/>
    <w:rsid w:val="005D408F"/>
    <w:rsid w:val="005D6C47"/>
    <w:rsid w:val="005D77CE"/>
    <w:rsid w:val="005E1511"/>
    <w:rsid w:val="005E2D20"/>
    <w:rsid w:val="005E4824"/>
    <w:rsid w:val="005E6F3E"/>
    <w:rsid w:val="005F6FDD"/>
    <w:rsid w:val="00604881"/>
    <w:rsid w:val="00647F43"/>
    <w:rsid w:val="0065338E"/>
    <w:rsid w:val="00680AFF"/>
    <w:rsid w:val="00682C14"/>
    <w:rsid w:val="006837AA"/>
    <w:rsid w:val="006C7549"/>
    <w:rsid w:val="006E5807"/>
    <w:rsid w:val="006E7914"/>
    <w:rsid w:val="00705098"/>
    <w:rsid w:val="00726365"/>
    <w:rsid w:val="007301D6"/>
    <w:rsid w:val="00763504"/>
    <w:rsid w:val="00764EDD"/>
    <w:rsid w:val="00776999"/>
    <w:rsid w:val="0079593A"/>
    <w:rsid w:val="00796305"/>
    <w:rsid w:val="007D487A"/>
    <w:rsid w:val="007F00B8"/>
    <w:rsid w:val="007F4995"/>
    <w:rsid w:val="007F601B"/>
    <w:rsid w:val="007F77A1"/>
    <w:rsid w:val="00800591"/>
    <w:rsid w:val="008128BB"/>
    <w:rsid w:val="00812BED"/>
    <w:rsid w:val="00812EEA"/>
    <w:rsid w:val="008265B7"/>
    <w:rsid w:val="00830459"/>
    <w:rsid w:val="00836158"/>
    <w:rsid w:val="0084488B"/>
    <w:rsid w:val="0084497D"/>
    <w:rsid w:val="008602F8"/>
    <w:rsid w:val="008832E0"/>
    <w:rsid w:val="008A247D"/>
    <w:rsid w:val="008A46EC"/>
    <w:rsid w:val="008A5793"/>
    <w:rsid w:val="008C1674"/>
    <w:rsid w:val="00924205"/>
    <w:rsid w:val="00926A96"/>
    <w:rsid w:val="00932AF9"/>
    <w:rsid w:val="0094148C"/>
    <w:rsid w:val="00956463"/>
    <w:rsid w:val="009804A9"/>
    <w:rsid w:val="00993294"/>
    <w:rsid w:val="009C06C7"/>
    <w:rsid w:val="009C5F38"/>
    <w:rsid w:val="009D0685"/>
    <w:rsid w:val="009F685D"/>
    <w:rsid w:val="00A0534D"/>
    <w:rsid w:val="00A150D3"/>
    <w:rsid w:val="00A30D6A"/>
    <w:rsid w:val="00A35800"/>
    <w:rsid w:val="00A40D23"/>
    <w:rsid w:val="00A53783"/>
    <w:rsid w:val="00AA587E"/>
    <w:rsid w:val="00AB29FA"/>
    <w:rsid w:val="00B134F7"/>
    <w:rsid w:val="00B160AF"/>
    <w:rsid w:val="00B24B9B"/>
    <w:rsid w:val="00B30FB4"/>
    <w:rsid w:val="00B36ACB"/>
    <w:rsid w:val="00B371E4"/>
    <w:rsid w:val="00B60DEA"/>
    <w:rsid w:val="00B876A2"/>
    <w:rsid w:val="00BA1951"/>
    <w:rsid w:val="00BA5A84"/>
    <w:rsid w:val="00BB7851"/>
    <w:rsid w:val="00BC219D"/>
    <w:rsid w:val="00BE047E"/>
    <w:rsid w:val="00C00149"/>
    <w:rsid w:val="00C10388"/>
    <w:rsid w:val="00C1773B"/>
    <w:rsid w:val="00C26EBF"/>
    <w:rsid w:val="00C7408F"/>
    <w:rsid w:val="00CA2144"/>
    <w:rsid w:val="00CA2642"/>
    <w:rsid w:val="00CC19B1"/>
    <w:rsid w:val="00CC6FF1"/>
    <w:rsid w:val="00CD1F2A"/>
    <w:rsid w:val="00CF3562"/>
    <w:rsid w:val="00D03F21"/>
    <w:rsid w:val="00D14A42"/>
    <w:rsid w:val="00D23389"/>
    <w:rsid w:val="00D24AFE"/>
    <w:rsid w:val="00D24B15"/>
    <w:rsid w:val="00D6081F"/>
    <w:rsid w:val="00D616BA"/>
    <w:rsid w:val="00D64D3E"/>
    <w:rsid w:val="00D702F4"/>
    <w:rsid w:val="00DC7C16"/>
    <w:rsid w:val="00DD240D"/>
    <w:rsid w:val="00DE01F8"/>
    <w:rsid w:val="00DF5C3F"/>
    <w:rsid w:val="00E002C5"/>
    <w:rsid w:val="00E215EE"/>
    <w:rsid w:val="00E22A2C"/>
    <w:rsid w:val="00E57E7D"/>
    <w:rsid w:val="00E62037"/>
    <w:rsid w:val="00E769A5"/>
    <w:rsid w:val="00E86DF6"/>
    <w:rsid w:val="00E9381F"/>
    <w:rsid w:val="00EA5010"/>
    <w:rsid w:val="00EA5975"/>
    <w:rsid w:val="00EC3FFC"/>
    <w:rsid w:val="00ED3FB6"/>
    <w:rsid w:val="00ED56ED"/>
    <w:rsid w:val="00EE5E8E"/>
    <w:rsid w:val="00F338E1"/>
    <w:rsid w:val="00F46571"/>
    <w:rsid w:val="00F55C68"/>
    <w:rsid w:val="00F60617"/>
    <w:rsid w:val="00F773CF"/>
    <w:rsid w:val="00F861EE"/>
    <w:rsid w:val="00F9058C"/>
    <w:rsid w:val="00F93286"/>
    <w:rsid w:val="00F93C00"/>
    <w:rsid w:val="00F94FD0"/>
    <w:rsid w:val="00FA5059"/>
    <w:rsid w:val="00FC39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32DAB20"/>
  <w15:chartTrackingRefBased/>
  <w15:docId w15:val="{E6BA0FC0-4422-4414-A2C1-78AB00A56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5"/>
    <w:rPr>
      <w:sz w:val="26"/>
      <w:szCs w:val="26"/>
      <w:lang w:eastAsia="en-US"/>
    </w:rPr>
  </w:style>
  <w:style w:type="paragraph" w:styleId="Heading1">
    <w:name w:val="heading 1"/>
    <w:basedOn w:val="Normal"/>
    <w:next w:val="Para1"/>
    <w:link w:val="Heading1Char"/>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qFormat/>
    <w:pPr>
      <w:jc w:val="left"/>
      <w:outlineLvl w:val="1"/>
    </w:pPr>
    <w:rPr>
      <w:bCs w:val="0"/>
      <w:iCs/>
    </w:rPr>
  </w:style>
  <w:style w:type="paragraph" w:styleId="Heading3">
    <w:name w:val="heading 3"/>
    <w:basedOn w:val="Heading2"/>
    <w:next w:val="Para1"/>
    <w:link w:val="Heading3Char"/>
    <w:qFormat/>
    <w:pPr>
      <w:outlineLvl w:val="2"/>
    </w:pPr>
    <w:rPr>
      <w:bCs/>
      <w:caps w:val="0"/>
    </w:rPr>
  </w:style>
  <w:style w:type="paragraph" w:styleId="Heading4">
    <w:name w:val="heading 4"/>
    <w:basedOn w:val="Heading3"/>
    <w:next w:val="Normal"/>
    <w:qFormat/>
    <w:pPr>
      <w:outlineLvl w:val="3"/>
    </w:pPr>
    <w:rPr>
      <w:b w:val="0"/>
      <w:bCs w:val="0"/>
      <w:szCs w:val="28"/>
      <w:u w:val="single"/>
    </w:rPr>
  </w:style>
  <w:style w:type="paragraph" w:styleId="Heading5">
    <w:name w:val="heading 5"/>
    <w:basedOn w:val="Heading4"/>
    <w:next w:val="Para1"/>
    <w:link w:val="Heading5Char"/>
    <w:qFormat/>
    <w:rsid w:val="001708C4"/>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896"/>
        <w:tab w:val="right" w:pos="9792"/>
      </w:tabs>
      <w:spacing w:before="60"/>
    </w:pPr>
    <w:rPr>
      <w:rFonts w:ascii="Arial" w:hAnsi="Arial"/>
      <w:sz w:val="20"/>
      <w:szCs w:val="20"/>
    </w:rPr>
  </w:style>
  <w:style w:type="paragraph" w:customStyle="1" w:styleId="Para1">
    <w:name w:val="Para 1"/>
    <w:basedOn w:val="Normal"/>
    <w:link w:val="Para1CharChar"/>
    <w:qFormat/>
    <w:pPr>
      <w:numPr>
        <w:numId w:val="2"/>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link w:val="Para5Char"/>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pPr>
      <w:tabs>
        <w:tab w:val="center" w:pos="4320"/>
        <w:tab w:val="right" w:pos="8640"/>
      </w:tabs>
    </w:pPr>
  </w:style>
  <w:style w:type="paragraph" w:styleId="FootnoteText">
    <w:name w:val="footnote text"/>
    <w:basedOn w:val="Normal"/>
    <w:link w:val="FootnoteTextChar"/>
    <w:semiHidden/>
    <w:pPr>
      <w:ind w:left="567" w:hanging="567"/>
    </w:pPr>
    <w:rPr>
      <w:sz w:val="20"/>
      <w:szCs w:val="20"/>
    </w:rPr>
  </w:style>
  <w:style w:type="character" w:styleId="FootnoteReference">
    <w:name w:val="footnote reference"/>
    <w:semiHidden/>
    <w:rPr>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qFormat/>
    <w:rsid w:val="0034213D"/>
    <w:pPr>
      <w:numPr>
        <w:numId w:val="8"/>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character" w:customStyle="1" w:styleId="Heading5Char">
    <w:name w:val="Heading 5 Char"/>
    <w:link w:val="Heading5"/>
    <w:rsid w:val="001708C4"/>
    <w:rPr>
      <w:rFonts w:ascii="Arial" w:hAnsi="Arial"/>
      <w:bCs/>
      <w:sz w:val="24"/>
      <w:szCs w:val="28"/>
      <w:lang w:eastAsia="en-US"/>
    </w:rPr>
  </w:style>
  <w:style w:type="character" w:customStyle="1" w:styleId="Heading1Char">
    <w:name w:val="Heading 1 Char"/>
    <w:link w:val="Heading1"/>
    <w:rsid w:val="00124C1E"/>
    <w:rPr>
      <w:rFonts w:ascii="Arial" w:hAnsi="Arial"/>
      <w:b/>
      <w:bCs/>
      <w:caps/>
      <w:sz w:val="24"/>
      <w:szCs w:val="24"/>
      <w:lang w:eastAsia="en-US"/>
    </w:rPr>
  </w:style>
  <w:style w:type="character" w:customStyle="1" w:styleId="Heading2Char">
    <w:name w:val="Heading 2 Char"/>
    <w:basedOn w:val="DefaultParagraphFont"/>
    <w:link w:val="Heading2"/>
    <w:rsid w:val="002A52E0"/>
    <w:rPr>
      <w:rFonts w:ascii="Arial" w:hAnsi="Arial"/>
      <w:b/>
      <w:iCs/>
      <w:caps/>
      <w:sz w:val="24"/>
      <w:szCs w:val="24"/>
      <w:lang w:eastAsia="en-US"/>
    </w:rPr>
  </w:style>
  <w:style w:type="character" w:customStyle="1" w:styleId="FootnoteTextChar">
    <w:name w:val="Footnote Text Char"/>
    <w:basedOn w:val="DefaultParagraphFont"/>
    <w:link w:val="FootnoteText"/>
    <w:semiHidden/>
    <w:rsid w:val="0079593A"/>
    <w:rPr>
      <w:lang w:eastAsia="en-US"/>
    </w:rPr>
  </w:style>
  <w:style w:type="table" w:styleId="TableGrid">
    <w:name w:val="Table Grid"/>
    <w:basedOn w:val="TableNormal"/>
    <w:uiPriority w:val="5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13E9"/>
    <w:rPr>
      <w:rFonts w:ascii="Segoe UI" w:hAnsi="Segoe UI" w:cs="Segoe UI"/>
      <w:sz w:val="18"/>
      <w:szCs w:val="18"/>
      <w:lang w:eastAsia="en-US"/>
    </w:rPr>
  </w:style>
  <w:style w:type="character" w:customStyle="1" w:styleId="Heading3Char">
    <w:name w:val="Heading 3 Char"/>
    <w:basedOn w:val="DefaultParagraphFont"/>
    <w:link w:val="Heading3"/>
    <w:rsid w:val="00F55C68"/>
    <w:rPr>
      <w:rFonts w:ascii="Arial" w:hAnsi="Arial"/>
      <w:b/>
      <w:bCs/>
      <w:iCs/>
      <w:sz w:val="24"/>
      <w:szCs w:val="24"/>
      <w:lang w:eastAsia="en-US"/>
    </w:rPr>
  </w:style>
  <w:style w:type="paragraph" w:customStyle="1" w:styleId="Condition1">
    <w:name w:val="Condition 1"/>
    <w:basedOn w:val="Normal"/>
    <w:qFormat/>
    <w:rsid w:val="00763504"/>
    <w:pPr>
      <w:spacing w:after="120" w:line="300" w:lineRule="atLeast"/>
    </w:pPr>
  </w:style>
  <w:style w:type="numbering" w:customStyle="1" w:styleId="Style1">
    <w:name w:val="Style1"/>
    <w:uiPriority w:val="99"/>
    <w:rsid w:val="000945F9"/>
    <w:pPr>
      <w:numPr>
        <w:numId w:val="6"/>
      </w:numPr>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 w:type="character" w:customStyle="1" w:styleId="Para5Char">
    <w:name w:val="Para 5 Char"/>
    <w:link w:val="Para5"/>
    <w:rsid w:val="00490591"/>
    <w:rPr>
      <w:sz w:val="26"/>
      <w:szCs w:val="26"/>
      <w:lang w:eastAsia="en-US"/>
    </w:rPr>
  </w:style>
  <w:style w:type="character" w:styleId="Hyperlink">
    <w:name w:val="Hyperlink"/>
    <w:uiPriority w:val="99"/>
    <w:unhideWhenUsed/>
    <w:rsid w:val="00490591"/>
    <w:rPr>
      <w:color w:val="0563C1"/>
      <w:u w:val="single"/>
    </w:rPr>
  </w:style>
  <w:style w:type="character" w:customStyle="1" w:styleId="Para1CharChar">
    <w:name w:val="Para 1 Char Char"/>
    <w:link w:val="Para1"/>
    <w:rsid w:val="0053071D"/>
    <w:rPr>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433622">
      <w:bodyDiv w:val="1"/>
      <w:marLeft w:val="0"/>
      <w:marRight w:val="0"/>
      <w:marTop w:val="0"/>
      <w:marBottom w:val="0"/>
      <w:divBdr>
        <w:top w:val="none" w:sz="0" w:space="0" w:color="auto"/>
        <w:left w:val="none" w:sz="0" w:space="0" w:color="auto"/>
        <w:bottom w:val="none" w:sz="0" w:space="0" w:color="auto"/>
        <w:right w:val="none" w:sz="0" w:space="0" w:color="auto"/>
      </w:divBdr>
    </w:div>
    <w:div w:id="289482659">
      <w:bodyDiv w:val="1"/>
      <w:marLeft w:val="0"/>
      <w:marRight w:val="0"/>
      <w:marTop w:val="0"/>
      <w:marBottom w:val="0"/>
      <w:divBdr>
        <w:top w:val="none" w:sz="0" w:space="0" w:color="auto"/>
        <w:left w:val="none" w:sz="0" w:space="0" w:color="auto"/>
        <w:bottom w:val="none" w:sz="0" w:space="0" w:color="auto"/>
        <w:right w:val="none" w:sz="0" w:space="0" w:color="auto"/>
      </w:divBdr>
    </w:div>
    <w:div w:id="323054130">
      <w:bodyDiv w:val="1"/>
      <w:marLeft w:val="0"/>
      <w:marRight w:val="0"/>
      <w:marTop w:val="0"/>
      <w:marBottom w:val="0"/>
      <w:divBdr>
        <w:top w:val="none" w:sz="0" w:space="0" w:color="auto"/>
        <w:left w:val="none" w:sz="0" w:space="0" w:color="auto"/>
        <w:bottom w:val="none" w:sz="0" w:space="0" w:color="auto"/>
        <w:right w:val="none" w:sz="0" w:space="0" w:color="auto"/>
      </w:divBdr>
    </w:div>
    <w:div w:id="358622790">
      <w:bodyDiv w:val="1"/>
      <w:marLeft w:val="0"/>
      <w:marRight w:val="0"/>
      <w:marTop w:val="0"/>
      <w:marBottom w:val="0"/>
      <w:divBdr>
        <w:top w:val="none" w:sz="0" w:space="0" w:color="auto"/>
        <w:left w:val="none" w:sz="0" w:space="0" w:color="auto"/>
        <w:bottom w:val="none" w:sz="0" w:space="0" w:color="auto"/>
        <w:right w:val="none" w:sz="0" w:space="0" w:color="auto"/>
      </w:divBdr>
    </w:div>
    <w:div w:id="468595996">
      <w:bodyDiv w:val="1"/>
      <w:marLeft w:val="0"/>
      <w:marRight w:val="0"/>
      <w:marTop w:val="0"/>
      <w:marBottom w:val="0"/>
      <w:divBdr>
        <w:top w:val="none" w:sz="0" w:space="0" w:color="auto"/>
        <w:left w:val="none" w:sz="0" w:space="0" w:color="auto"/>
        <w:bottom w:val="none" w:sz="0" w:space="0" w:color="auto"/>
        <w:right w:val="none" w:sz="0" w:space="0" w:color="auto"/>
      </w:divBdr>
    </w:div>
    <w:div w:id="499931818">
      <w:bodyDiv w:val="1"/>
      <w:marLeft w:val="0"/>
      <w:marRight w:val="0"/>
      <w:marTop w:val="0"/>
      <w:marBottom w:val="0"/>
      <w:divBdr>
        <w:top w:val="none" w:sz="0" w:space="0" w:color="auto"/>
        <w:left w:val="none" w:sz="0" w:space="0" w:color="auto"/>
        <w:bottom w:val="none" w:sz="0" w:space="0" w:color="auto"/>
        <w:right w:val="none" w:sz="0" w:space="0" w:color="auto"/>
      </w:divBdr>
    </w:div>
    <w:div w:id="752513142">
      <w:bodyDiv w:val="1"/>
      <w:marLeft w:val="0"/>
      <w:marRight w:val="0"/>
      <w:marTop w:val="0"/>
      <w:marBottom w:val="0"/>
      <w:divBdr>
        <w:top w:val="none" w:sz="0" w:space="0" w:color="auto"/>
        <w:left w:val="none" w:sz="0" w:space="0" w:color="auto"/>
        <w:bottom w:val="none" w:sz="0" w:space="0" w:color="auto"/>
        <w:right w:val="none" w:sz="0" w:space="0" w:color="auto"/>
      </w:divBdr>
    </w:div>
    <w:div w:id="802500017">
      <w:bodyDiv w:val="1"/>
      <w:marLeft w:val="0"/>
      <w:marRight w:val="0"/>
      <w:marTop w:val="0"/>
      <w:marBottom w:val="0"/>
      <w:divBdr>
        <w:top w:val="none" w:sz="0" w:space="0" w:color="auto"/>
        <w:left w:val="none" w:sz="0" w:space="0" w:color="auto"/>
        <w:bottom w:val="none" w:sz="0" w:space="0" w:color="auto"/>
        <w:right w:val="none" w:sz="0" w:space="0" w:color="auto"/>
      </w:divBdr>
    </w:div>
    <w:div w:id="915749454">
      <w:bodyDiv w:val="1"/>
      <w:marLeft w:val="0"/>
      <w:marRight w:val="0"/>
      <w:marTop w:val="0"/>
      <w:marBottom w:val="0"/>
      <w:divBdr>
        <w:top w:val="none" w:sz="0" w:space="0" w:color="auto"/>
        <w:left w:val="none" w:sz="0" w:space="0" w:color="auto"/>
        <w:bottom w:val="none" w:sz="0" w:space="0" w:color="auto"/>
        <w:right w:val="none" w:sz="0" w:space="0" w:color="auto"/>
      </w:divBdr>
    </w:div>
    <w:div w:id="934509727">
      <w:bodyDiv w:val="1"/>
      <w:marLeft w:val="0"/>
      <w:marRight w:val="0"/>
      <w:marTop w:val="0"/>
      <w:marBottom w:val="0"/>
      <w:divBdr>
        <w:top w:val="none" w:sz="0" w:space="0" w:color="auto"/>
        <w:left w:val="none" w:sz="0" w:space="0" w:color="auto"/>
        <w:bottom w:val="none" w:sz="0" w:space="0" w:color="auto"/>
        <w:right w:val="none" w:sz="0" w:space="0" w:color="auto"/>
      </w:divBdr>
    </w:div>
    <w:div w:id="1016226206">
      <w:bodyDiv w:val="1"/>
      <w:marLeft w:val="0"/>
      <w:marRight w:val="0"/>
      <w:marTop w:val="0"/>
      <w:marBottom w:val="0"/>
      <w:divBdr>
        <w:top w:val="none" w:sz="0" w:space="0" w:color="auto"/>
        <w:left w:val="none" w:sz="0" w:space="0" w:color="auto"/>
        <w:bottom w:val="none" w:sz="0" w:space="0" w:color="auto"/>
        <w:right w:val="none" w:sz="0" w:space="0" w:color="auto"/>
      </w:divBdr>
    </w:div>
    <w:div w:id="1162164608">
      <w:bodyDiv w:val="1"/>
      <w:marLeft w:val="0"/>
      <w:marRight w:val="0"/>
      <w:marTop w:val="0"/>
      <w:marBottom w:val="0"/>
      <w:divBdr>
        <w:top w:val="none" w:sz="0" w:space="0" w:color="auto"/>
        <w:left w:val="none" w:sz="0" w:space="0" w:color="auto"/>
        <w:bottom w:val="none" w:sz="0" w:space="0" w:color="auto"/>
        <w:right w:val="none" w:sz="0" w:space="0" w:color="auto"/>
      </w:divBdr>
    </w:div>
    <w:div w:id="1187793913">
      <w:bodyDiv w:val="1"/>
      <w:marLeft w:val="0"/>
      <w:marRight w:val="0"/>
      <w:marTop w:val="0"/>
      <w:marBottom w:val="0"/>
      <w:divBdr>
        <w:top w:val="none" w:sz="0" w:space="0" w:color="auto"/>
        <w:left w:val="none" w:sz="0" w:space="0" w:color="auto"/>
        <w:bottom w:val="none" w:sz="0" w:space="0" w:color="auto"/>
        <w:right w:val="none" w:sz="0" w:space="0" w:color="auto"/>
      </w:divBdr>
    </w:div>
    <w:div w:id="1322465406">
      <w:bodyDiv w:val="1"/>
      <w:marLeft w:val="0"/>
      <w:marRight w:val="0"/>
      <w:marTop w:val="0"/>
      <w:marBottom w:val="0"/>
      <w:divBdr>
        <w:top w:val="none" w:sz="0" w:space="0" w:color="auto"/>
        <w:left w:val="none" w:sz="0" w:space="0" w:color="auto"/>
        <w:bottom w:val="none" w:sz="0" w:space="0" w:color="auto"/>
        <w:right w:val="none" w:sz="0" w:space="0" w:color="auto"/>
      </w:divBdr>
    </w:div>
    <w:div w:id="1363286213">
      <w:bodyDiv w:val="1"/>
      <w:marLeft w:val="0"/>
      <w:marRight w:val="0"/>
      <w:marTop w:val="0"/>
      <w:marBottom w:val="0"/>
      <w:divBdr>
        <w:top w:val="none" w:sz="0" w:space="0" w:color="auto"/>
        <w:left w:val="none" w:sz="0" w:space="0" w:color="auto"/>
        <w:bottom w:val="none" w:sz="0" w:space="0" w:color="auto"/>
        <w:right w:val="none" w:sz="0" w:space="0" w:color="auto"/>
      </w:divBdr>
    </w:div>
    <w:div w:id="1511942982">
      <w:bodyDiv w:val="1"/>
      <w:marLeft w:val="0"/>
      <w:marRight w:val="0"/>
      <w:marTop w:val="0"/>
      <w:marBottom w:val="0"/>
      <w:divBdr>
        <w:top w:val="none" w:sz="0" w:space="0" w:color="auto"/>
        <w:left w:val="none" w:sz="0" w:space="0" w:color="auto"/>
        <w:bottom w:val="none" w:sz="0" w:space="0" w:color="auto"/>
        <w:right w:val="none" w:sz="0" w:space="0" w:color="auto"/>
      </w:divBdr>
    </w:div>
    <w:div w:id="1663460509">
      <w:bodyDiv w:val="1"/>
      <w:marLeft w:val="0"/>
      <w:marRight w:val="0"/>
      <w:marTop w:val="0"/>
      <w:marBottom w:val="0"/>
      <w:divBdr>
        <w:top w:val="none" w:sz="0" w:space="0" w:color="auto"/>
        <w:left w:val="none" w:sz="0" w:space="0" w:color="auto"/>
        <w:bottom w:val="none" w:sz="0" w:space="0" w:color="auto"/>
        <w:right w:val="none" w:sz="0" w:space="0" w:color="auto"/>
      </w:divBdr>
    </w:div>
    <w:div w:id="1767076993">
      <w:bodyDiv w:val="1"/>
      <w:marLeft w:val="0"/>
      <w:marRight w:val="0"/>
      <w:marTop w:val="0"/>
      <w:marBottom w:val="0"/>
      <w:divBdr>
        <w:top w:val="none" w:sz="0" w:space="0" w:color="auto"/>
        <w:left w:val="none" w:sz="0" w:space="0" w:color="auto"/>
        <w:bottom w:val="none" w:sz="0" w:space="0" w:color="auto"/>
        <w:right w:val="none" w:sz="0" w:space="0" w:color="auto"/>
      </w:divBdr>
    </w:div>
    <w:div w:id="1862355374">
      <w:bodyDiv w:val="1"/>
      <w:marLeft w:val="0"/>
      <w:marRight w:val="0"/>
      <w:marTop w:val="0"/>
      <w:marBottom w:val="0"/>
      <w:divBdr>
        <w:top w:val="none" w:sz="0" w:space="0" w:color="auto"/>
        <w:left w:val="none" w:sz="0" w:space="0" w:color="auto"/>
        <w:bottom w:val="none" w:sz="0" w:space="0" w:color="auto"/>
        <w:right w:val="none" w:sz="0" w:space="0" w:color="auto"/>
      </w:divBdr>
    </w:div>
    <w:div w:id="1974285611">
      <w:bodyDiv w:val="1"/>
      <w:marLeft w:val="0"/>
      <w:marRight w:val="0"/>
      <w:marTop w:val="0"/>
      <w:marBottom w:val="0"/>
      <w:divBdr>
        <w:top w:val="none" w:sz="0" w:space="0" w:color="auto"/>
        <w:left w:val="none" w:sz="0" w:space="0" w:color="auto"/>
        <w:bottom w:val="none" w:sz="0" w:space="0" w:color="auto"/>
        <w:right w:val="none" w:sz="0" w:space="0" w:color="auto"/>
      </w:divBdr>
    </w:div>
    <w:div w:id="2011717637">
      <w:bodyDiv w:val="1"/>
      <w:marLeft w:val="0"/>
      <w:marRight w:val="0"/>
      <w:marTop w:val="0"/>
      <w:marBottom w:val="0"/>
      <w:divBdr>
        <w:top w:val="none" w:sz="0" w:space="0" w:color="auto"/>
        <w:left w:val="none" w:sz="0" w:space="0" w:color="auto"/>
        <w:bottom w:val="none" w:sz="0" w:space="0" w:color="auto"/>
        <w:right w:val="none" w:sz="0" w:space="0" w:color="auto"/>
      </w:divBdr>
    </w:div>
    <w:div w:id="2086763053">
      <w:bodyDiv w:val="1"/>
      <w:marLeft w:val="0"/>
      <w:marRight w:val="0"/>
      <w:marTop w:val="0"/>
      <w:marBottom w:val="0"/>
      <w:divBdr>
        <w:top w:val="none" w:sz="0" w:space="0" w:color="auto"/>
        <w:left w:val="none" w:sz="0" w:space="0" w:color="auto"/>
        <w:bottom w:val="none" w:sz="0" w:space="0" w:color="auto"/>
        <w:right w:val="none" w:sz="0" w:space="0" w:color="auto"/>
      </w:divBdr>
    </w:div>
    <w:div w:id="2095085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www.nearmap.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26F292691BA1A4BBE095408DAB21DBE" ma:contentTypeVersion="43" ma:contentTypeDescription="Create a new document." ma:contentTypeScope="" ma:versionID="b5f7205aafd95bf096b0494623c8be63">
  <xsd:schema xmlns:xsd="http://www.w3.org/2001/XMLSchema" xmlns:xs="http://www.w3.org/2001/XMLSchema" xmlns:p="http://schemas.microsoft.com/office/2006/metadata/properties" xmlns:ns2="dc52a2e6-3ccd-4a27-abcc-584cde9fa38b" xmlns:ns3="cb869b85-0445-4a49-98bd-5af57bfe952c" targetNamespace="http://schemas.microsoft.com/office/2006/metadata/properties" ma:root="true" ma:fieldsID="404b8ffbeddbd0b5ccb155c626e984f5" ns2:_="" ns3:_="">
    <xsd:import namespace="dc52a2e6-3ccd-4a27-abcc-584cde9fa38b"/>
    <xsd:import namespace="cb869b85-0445-4a49-98bd-5af57bfe952c"/>
    <xsd:element name="properties">
      <xsd:complexType>
        <xsd:sequence>
          <xsd:element name="documentManagement">
            <xsd:complexType>
              <xsd:all>
                <xsd:element ref="ns2:OriginalCorrespondence" minOccurs="0"/>
                <xsd:element ref="ns2:Category" minOccurs="0"/>
                <xsd:element ref="ns2:DocumentType" minOccurs="0"/>
                <xsd:element ref="ns2:TribunalBook" minOccurs="0"/>
                <xsd:element ref="ns2:Notes" minOccurs="0"/>
                <xsd:element ref="ns2:DisposalStatus" minOccurs="0"/>
                <xsd:element ref="ns2:LodgementDate" minOccurs="0"/>
                <xsd:element ref="ns2:PartyRole" minOccurs="0"/>
                <xsd:element ref="ns2:Owner_x002f_Creator" minOccurs="0"/>
                <xsd:element ref="ns2:Classification" minOccurs="0"/>
                <xsd:element ref="ns2:SecurityStatus" minOccurs="0"/>
                <xsd:element ref="ns2:DateDigitised" minOccurs="0"/>
                <xsd:element ref="ns2:DigitisingEquipment" minOccurs="0"/>
                <xsd:element ref="ns2:DigitisedBy" minOccurs="0"/>
                <xsd:element ref="ns2:DateSent_x002f_Posted" minOccurs="0"/>
                <xsd:element ref="ns2:SentBy" minOccurs="0"/>
                <xsd:element ref="ns2:DateClosed" minOccurs="0"/>
                <xsd:element ref="ns2:DateDisposed"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Sort_x0020_Order" minOccurs="0"/>
                <xsd:element ref="ns2:MediaServiceAutoKeyPoints" minOccurs="0"/>
                <xsd:element ref="ns2:MediaServiceKeyPoints" minOccurs="0"/>
                <xsd:element ref="ns2:P_x002d_Number" minOccurs="0"/>
                <xsd:element ref="ns2:MediaServiceDateTaken" minOccurs="0"/>
                <xsd:element ref="ns2:MediaServiceLocation" minOccurs="0"/>
                <xsd:element ref="ns3:SharedWithUsers" minOccurs="0"/>
                <xsd:element ref="ns3:SharedWithDetails" minOccurs="0"/>
                <xsd:element ref="ns2:Expert_x002f_Laypersonname" minOccurs="0"/>
                <xsd:element ref="ns2:Expertise" minOccurs="0"/>
                <xsd:element ref="ns2:Party_x0020_Type" minOccurs="0"/>
                <xsd:element ref="ns2:WitnessName" minOccurs="0"/>
                <xsd:element ref="ns2:Thumbnail" minOccurs="0"/>
                <xsd:element ref="ns2:SentOn" minOccurs="0"/>
                <xsd:element ref="ns2:ReceivedOn" minOccurs="0"/>
                <xsd:element ref="ns2:AttachmentGroup" minOccurs="0"/>
                <xsd:element ref="ns2:MovedtoRecordsOn" minOccurs="0"/>
                <xsd:element ref="ns2:MovedtoRecordsBy" minOccurs="0"/>
                <xsd:element ref="ns2:Original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52a2e6-3ccd-4a27-abcc-584cde9fa38b" elementFormDefault="qualified">
    <xsd:import namespace="http://schemas.microsoft.com/office/2006/documentManagement/types"/>
    <xsd:import namespace="http://schemas.microsoft.com/office/infopath/2007/PartnerControls"/>
    <xsd:element name="OriginalCorrespondence" ma:index="8" nillable="true" ma:displayName="Original Correspondence" ma:format="Hyperlink" ma:internalName="OriginalCorrespondence">
      <xsd:complexType>
        <xsd:complexContent>
          <xsd:extension base="dms:URL">
            <xsd:sequence>
              <xsd:element name="Url" type="dms:ValidUrl" minOccurs="0" nillable="true"/>
              <xsd:element name="Description" type="xsd:string" nillable="true"/>
            </xsd:sequence>
          </xsd:extension>
        </xsd:complexContent>
      </xsd:complexType>
    </xsd:element>
    <xsd:element name="Category" ma:index="9" nillable="true" ma:displayName="Category" ma:format="Dropdown" ma:internalName="Category">
      <xsd:complexType>
        <xsd:complexContent>
          <xsd:extension base="dms:MultiChoice">
            <xsd:sequence>
              <xsd:element name="Value" maxOccurs="unbounded" minOccurs="0" nillable="true">
                <xsd:simpleType>
                  <xsd:restriction base="dms:Choice">
                    <xsd:enumeration value="Application"/>
                    <xsd:enumeration value="General Details"/>
                    <xsd:enumeration value="PDH Orders"/>
                    <xsd:enumeration value="PDH Pre-Filing Material"/>
                    <xsd:enumeration value="PDH Submissions"/>
                    <xsd:enumeration value="PDH Evidence"/>
                    <xsd:enumeration value="PDH Hearing"/>
                    <xsd:enumeration value="PDH Post-Hearing"/>
                    <xsd:enumeration value="PDH Related"/>
                    <xsd:enumeration value="PH Orders"/>
                    <xsd:enumeration value="PH Pre-Filing Material"/>
                    <xsd:enumeration value="PH Submissions"/>
                    <xsd:enumeration value="PH Evidence"/>
                    <xsd:enumeration value="PH Hearing"/>
                    <xsd:enumeration value="PH Post-Hearing"/>
                    <xsd:enumeration value="PH Related"/>
                    <xsd:enumeration value="CC Orders"/>
                    <xsd:enumeration value="CC Pre-filing Material"/>
                    <xsd:enumeration value="CC Submissions"/>
                    <xsd:enumeration value="CC Evidence"/>
                    <xsd:enumeration value="CC Hearing"/>
                    <xsd:enumeration value="CC Post-Hearing"/>
                    <xsd:enumeration value="CC Related"/>
                    <xsd:enumeration value="MH Orders"/>
                    <xsd:enumeration value="MH Pre-filing Material"/>
                    <xsd:enumeration value="MH Submissions"/>
                    <xsd:enumeration value="MH Evidence"/>
                    <xsd:enumeration value="MH Hearing"/>
                    <xsd:enumeration value="MH Post-Hearing"/>
                    <xsd:enumeration value="MH Related"/>
                    <xsd:enumeration value="Orders"/>
                    <xsd:enumeration value="Hearing - Evidence"/>
                    <xsd:enumeration value="Hearing - Hearing"/>
                    <xsd:enumeration value="Hearing - Post Hearing"/>
                    <xsd:enumeration value="Hearing - Pre-filing Material"/>
                    <xsd:enumeration value="Hearing - Submissions"/>
                    <xsd:enumeration value="Internal Communications"/>
                    <xsd:enumeration value="Post Determination"/>
                    <xsd:enumeration value="Post Initiation Request"/>
                    <xsd:enumeration value="Responses"/>
                    <xsd:enumeration value="Statement of Grounds - Party"/>
                    <xsd:enumeration value="Statement of Grounds - Non-party"/>
                    <xsd:enumeration value="Other"/>
                    <xsd:enumeration value="Related"/>
                    <xsd:enumeration value="Confidential"/>
                    <xsd:enumeration value="Payment"/>
                  </xsd:restriction>
                </xsd:simpleType>
              </xsd:element>
            </xsd:sequence>
          </xsd:extension>
        </xsd:complexContent>
      </xsd:complexType>
    </xsd:element>
    <xsd:element name="DocumentType" ma:index="10" nillable="true" ma:displayName="Document Type" ma:format="Dropdown" ma:internalName="DocumentType">
      <xsd:simpleType>
        <xsd:restriction base="dms:Choice">
          <xsd:enumeration value="Acoustic Assessment"/>
          <xsd:enumeration value="Additional Hearing Request"/>
          <xsd:enumeration value="Adjournment Referral Sheet"/>
          <xsd:enumeration value="Adjournment Request"/>
          <xsd:enumeration value="Adjournment Response"/>
          <xsd:enumeration value="Admin Mention Response"/>
          <xsd:enumeration value="Advertising Material"/>
          <xsd:enumeration value="Advertising Notice"/>
          <xsd:enumeration value="Advertising Notice Fees"/>
          <xsd:enumeration value="A-G Intervenor Cost Requests"/>
          <xsd:enumeration value="A-G Intervenor Request"/>
          <xsd:enumeration value="Agreed Facts"/>
          <xsd:enumeration value="Amended Application"/>
          <xsd:enumeration value="Amended Statement of Grounds"/>
          <xsd:enumeration value="Appearance Sheet"/>
          <xsd:enumeration value="Application"/>
          <xsd:enumeration value="Application Attachments"/>
          <xsd:enumeration value="Application Form"/>
          <xsd:enumeration value="Application Plans"/>
          <xsd:enumeration value="Approval Extension of Time"/>
          <xsd:enumeration value="Arborist Report"/>
          <xsd:enumeration value="Authority Joint Applicants"/>
          <xsd:enumeration value="Auto Reply"/>
          <xsd:enumeration value="Bushfire Hazard Landscape Assessment"/>
          <xsd:enumeration value="Bushfire Hazard Site Assessment"/>
          <xsd:enumeration value="Bushfire Management Statement"/>
          <xsd:enumeration value="Calculation of Elapsed Days"/>
          <xsd:enumeration value="CC Evidence"/>
          <xsd:enumeration value="CC Evidence Expert"/>
          <xsd:enumeration value="CC Evidence Lay"/>
          <xsd:enumeration value="CC Hearing"/>
          <xsd:enumeration value="CC Member Exclusion Requests"/>
          <xsd:enumeration value="CC Orders"/>
          <xsd:enumeration value="CC Post-Hearing"/>
          <xsd:enumeration value="CC Pre-Filing Material"/>
          <xsd:enumeration value="CC Reply Evidence Expert"/>
          <xsd:enumeration value="CC Reply Evidence Lay"/>
          <xsd:enumeration value="CC Submissions"/>
          <xsd:enumeration value="CC Submissions Reply"/>
          <xsd:enumeration value="CC Submissions Response"/>
          <xsd:enumeration value="Certificate of Environmental Audit"/>
          <xsd:enumeration value="Certificate of Title"/>
          <xsd:enumeration value="Change of Party Details"/>
          <xsd:enumeration value="CHMP"/>
          <xsd:enumeration value="Clause 54 Assessment"/>
          <xsd:enumeration value="Clause 55 Assessment"/>
          <xsd:enumeration value="Clause 58 Assessment"/>
          <xsd:enumeration value="Closed Court Requests"/>
          <xsd:enumeration value="Complaints / Feedback"/>
          <xsd:enumeration value="Conclave Material"/>
          <xsd:enumeration value="Conduct of Proceedings"/>
          <xsd:enumeration value="Consent Extension Time to Commence"/>
          <xsd:enumeration value="Consent Order Request"/>
          <xsd:enumeration value="Consent Order Response"/>
          <xsd:enumeration value="Consolidate Applications Requests"/>
          <xsd:enumeration value="Copy Correspondence"/>
          <xsd:enumeration value="Correction Order Request"/>
          <xsd:enumeration value="Correction Orders"/>
          <xsd:enumeration value="Costs Application"/>
          <xsd:enumeration value="Council Documents"/>
          <xsd:enumeration value="Court Requests"/>
          <xsd:enumeration value="Cover Email"/>
          <xsd:enumeration value="Cover Letter"/>
          <xsd:enumeration value="Cross Costs Application"/>
          <xsd:enumeration value="Cumulative Impact Assessment"/>
          <xsd:enumeration value="Decision to be Reviewed"/>
          <xsd:enumeration value="Declaration Request"/>
          <xsd:enumeration value="Development Plan"/>
          <xsd:enumeration value="Directions to Accompany Orders"/>
          <xsd:enumeration value="Documents for Hearing"/>
          <xsd:enumeration value="Duplicate"/>
          <xsd:enumeration value="E&amp;R Initiating Order Form"/>
          <xsd:enumeration value="Ecological / Biodiversity Assessment"/>
          <xsd:enumeration value="Economic Impact Assessment"/>
          <xsd:enumeration value="Endorsed Plans"/>
          <xsd:enumeration value="Environmental Approval"/>
          <xsd:enumeration value="Ephemera"/>
          <xsd:enumeration value="ESD Report"/>
          <xsd:enumeration value="Evidence Expert Reports"/>
          <xsd:enumeration value="Evidence Lay Reports"/>
          <xsd:enumeration value="Exhibit List"/>
          <xsd:enumeration value="Exhibits"/>
          <xsd:enumeration value="Extension of Time Request"/>
          <xsd:enumeration value="Fees"/>
          <xsd:enumeration value="File Access Checklist"/>
          <xsd:enumeration value="File Inspection Request"/>
          <xsd:enumeration value="Final Order"/>
          <xsd:enumeration value="Flooding Assessment"/>
          <xsd:enumeration value="Further and Better Particulars Request"/>
          <xsd:enumeration value="Further and Better Particulars Response"/>
          <xsd:enumeration value="General Enquiry Request"/>
          <xsd:enumeration value="Geotechnical Assessment"/>
          <xsd:enumeration value="Green Sign"/>
          <xsd:enumeration value="Hearing Interpreter Request"/>
          <xsd:enumeration value="Hearing Technology Request"/>
          <xsd:enumeration value="Heritage Permit"/>
          <xsd:enumeration value="Heritage Report"/>
          <xsd:enumeration value="Initiating Order"/>
          <xsd:enumeration value="Initiating Order Form"/>
          <xsd:enumeration value="Interim Order"/>
          <xsd:enumeration value="Joinder / Removal Applications"/>
          <xsd:enumeration value="Land Capability Assessment"/>
          <xsd:enumeration value="Legal Opinion"/>
          <xsd:enumeration value="List of Notified Persons"/>
          <xsd:enumeration value="MCL Bring Up Checklist"/>
          <xsd:enumeration value="MH Evidence"/>
          <xsd:enumeration value="MH Evidence Expert"/>
          <xsd:enumeration value="MH Evidence Lay"/>
          <xsd:enumeration value="MH Hearing"/>
          <xsd:enumeration value="MH Orders"/>
          <xsd:enumeration value="MH Post-Hearing"/>
          <xsd:enumeration value="MH Pre-Filing Material"/>
          <xsd:enumeration value="MH Reply Evidence Expert"/>
          <xsd:enumeration value="MH Reply Evidence Lay"/>
          <xsd:enumeration value="MH Submissions"/>
          <xsd:enumeration value="MH Submissions in Reply"/>
          <xsd:enumeration value="MH Submissions in Response"/>
          <xsd:enumeration value="Native Vegetation Removal Report"/>
          <xsd:enumeration value="Neighbourhood and Site Description"/>
          <xsd:enumeration value="Neighbourhood Character Assessment"/>
          <xsd:enumeration value="NOD Grant Amended Permit"/>
          <xsd:enumeration value="NOD Grant Permit"/>
          <xsd:enumeration value="NOD Refuse to Grant Amendment to Permit"/>
          <xsd:enumeration value="NOD Refuse to Grant Permit"/>
          <xsd:enumeration value="Notice of Decision (tracked changes)"/>
          <xsd:enumeration value="Notice of Decision Form"/>
          <xsd:enumeration value="Objections"/>
          <xsd:enumeration value="Objectors List"/>
          <xsd:enumeration value="Officer / Delegate Report"/>
          <xsd:enumeration value="Opening Statement"/>
          <xsd:enumeration value="Original Decision"/>
          <xsd:enumeration value="Other Documents"/>
          <xsd:enumeration value="Other Related Document"/>
          <xsd:enumeration value="Other Requests"/>
          <xsd:enumeration value="Outline of Submissions"/>
          <xsd:enumeration value="PAHT"/>
          <xsd:enumeration value="Part A Submission"/>
          <xsd:enumeration value="Parties List"/>
          <xsd:enumeration value="PDH Evidence"/>
          <xsd:enumeration value="PDH Evidence Expert"/>
          <xsd:enumeration value="PDH Evidence Lay"/>
          <xsd:enumeration value="PDH Hearing"/>
          <xsd:enumeration value="PDH Orders"/>
          <xsd:enumeration value="PDH Post-Hearing"/>
          <xsd:enumeration value="PDH Pre-Filing Material"/>
          <xsd:enumeration value="PDH Reasons Order Form"/>
          <xsd:enumeration value="PDH Reply Evidence Expert"/>
          <xsd:enumeration value="PDH Reply Evidence Lay"/>
          <xsd:enumeration value="PDH Submissions"/>
          <xsd:enumeration value="PDH Submissions Reply"/>
          <xsd:enumeration value="PDH Submissions Response"/>
          <xsd:enumeration value="PH Evidence"/>
          <xsd:enumeration value="PH Evidence Expert"/>
          <xsd:enumeration value="PH Evidence Lay"/>
          <xsd:enumeration value="PH Hearing"/>
          <xsd:enumeration value="PH Orders"/>
          <xsd:enumeration value="PH Post-Hearing"/>
          <xsd:enumeration value="PH Pre-Filing Material"/>
          <xsd:enumeration value="PH Reply Evidence Expert"/>
          <xsd:enumeration value="PH Reply Evidence Lay Reports"/>
          <xsd:enumeration value="PH Submissions"/>
          <xsd:enumeration value="PH Submissions in Reply"/>
          <xsd:enumeration value="PH Submissions in Response"/>
          <xsd:enumeration value="Photographs"/>
          <xsd:enumeration value="Photomontage"/>
          <xsd:enumeration value="Plan of Survey"/>
          <xsd:enumeration value="Planning Controls"/>
          <xsd:enumeration value="Planning Permit"/>
          <xsd:enumeration value="Pollution Abatement Notice"/>
          <xsd:enumeration value="Practice Day Hearing Request"/>
          <xsd:enumeration value="Practice Note Material"/>
          <xsd:enumeration value="Precinct Structure Plan"/>
          <xsd:enumeration value="Preliminary Site Assessment"/>
          <xsd:enumeration value="Previous Decision"/>
          <xsd:enumeration value="Produce Document Requests"/>
          <xsd:enumeration value="Produce Document Response"/>
          <xsd:enumeration value="Proposed Planning Scheme Amendment"/>
          <xsd:enumeration value="Receipt"/>
          <xsd:enumeration value="Reconstitution Requests"/>
          <xsd:enumeration value="Referral Authorities List"/>
          <xsd:enumeration value="Referral Authority Response"/>
          <xsd:enumeration value="Referral Question of Law to Supreme Court"/>
          <xsd:enumeration value="Rehabilitation Plan"/>
          <xsd:enumeration value="Reinstatement Request"/>
          <xsd:enumeration value="Reject Application Requests"/>
          <xsd:enumeration value="Re-opening Application"/>
          <xsd:enumeration value="Request for Further Information"/>
          <xsd:enumeration value="Response to Order"/>
          <xsd:enumeration value="Restrictive Covenant"/>
          <xsd:enumeration value="RFI Response"/>
          <xsd:enumeration value="Section 173 Agreement"/>
          <xsd:enumeration value="Security for Cost Requests"/>
          <xsd:enumeration value="Security Request"/>
          <xsd:enumeration value="Sent"/>
          <xsd:enumeration value="Site Inspection"/>
          <xsd:enumeration value="Social Impact Assessment"/>
          <xsd:enumeration value="Statement of Changes"/>
          <xsd:enumeration value="Statement of Contentions"/>
          <xsd:enumeration value="Statement of Environmental Audit"/>
          <xsd:enumeration value="Statement of Facts"/>
          <xsd:enumeration value="Statement of Grounds"/>
          <xsd:enumeration value="Statement of Notice"/>
          <xsd:enumeration value="Statement of Service"/>
          <xsd:enumeration value="Statutory Provisions"/>
          <xsd:enumeration value="Stay Requests"/>
          <xsd:enumeration value="Strike Out or Dismiss Request"/>
          <xsd:enumeration value="Structure Plan"/>
          <xsd:enumeration value="Subsequent Order"/>
          <xsd:enumeration value="Subsequent Order Form"/>
          <xsd:enumeration value="Substituted Service Requests"/>
          <xsd:enumeration value="Summons Requests"/>
          <xsd:enumeration value="Suppression Requests"/>
          <xsd:enumeration value="Supreme Court Appeals"/>
          <xsd:enumeration value="Terms of Settlement"/>
          <xsd:enumeration value="Traffic / Parking Assessment"/>
          <xsd:enumeration value="Transcript and Audio Request"/>
          <xsd:enumeration value="Tribunal Book Documents"/>
          <xsd:enumeration value="Unincorporated Association Submission Requests"/>
          <xsd:enumeration value="Urban Context Report"/>
          <xsd:enumeration value="VicPlan Planning Property Report"/>
          <xsd:enumeration value="Visual Assessment"/>
          <xsd:enumeration value="Waste Management Plan"/>
          <xsd:enumeration value="Water Licence"/>
          <xsd:enumeration value="Withdrawal Request"/>
          <xsd:enumeration value="Without Prejudice Amended Plans"/>
          <xsd:enumeration value="Without Prejudice Draft Conditions (CC)"/>
          <xsd:enumeration value="Without Prejudice Draft Conditions (MH)"/>
          <xsd:enumeration value="Witness Statements"/>
          <xsd:enumeration value="Works Approval"/>
          <xsd:enumeration value="Works Authority"/>
          <xsd:enumeration value="Written Reasons Requests"/>
          <xsd:enumeration value="Zoning / Overlay Maps"/>
        </xsd:restriction>
      </xsd:simpleType>
    </xsd:element>
    <xsd:element name="TribunalBook" ma:index="11" nillable="true" ma:displayName="Tribunal Book" ma:default="0" ma:format="Dropdown" ma:indexed="true" ma:internalName="TribunalBook">
      <xsd:simpleType>
        <xsd:restriction base="dms:Boolean"/>
      </xsd:simpleType>
    </xsd:element>
    <xsd:element name="Notes" ma:index="12" nillable="true" ma:displayName="Notes" ma:format="Dropdown" ma:internalName="Notes">
      <xsd:simpleType>
        <xsd:restriction base="dms:Note">
          <xsd:maxLength value="255"/>
        </xsd:restriction>
      </xsd:simpleType>
    </xsd:element>
    <xsd:element name="DisposalStatus" ma:index="13" nillable="true" ma:displayName="Disposal Status" ma:format="Dropdown" ma:internalName="DisposalStatus">
      <xsd:simpleType>
        <xsd:restriction base="dms:Choice">
          <xsd:enumeration value="Active"/>
          <xsd:enumeration value="Archived"/>
          <xsd:enumeration value="Transferred"/>
          <xsd:enumeration value="Destroyed"/>
        </xsd:restriction>
      </xsd:simpleType>
    </xsd:element>
    <xsd:element name="LodgementDate" ma:index="14" nillable="true" ma:displayName="Felix Created On" ma:format="DateOnly" ma:internalName="LodgementDate">
      <xsd:simpleType>
        <xsd:restriction base="dms:DateTime"/>
      </xsd:simpleType>
    </xsd:element>
    <xsd:element name="PartyRole" ma:index="15" nillable="true" ma:displayName="Party Role" ma:format="Dropdown" ma:internalName="PartyRole">
      <xsd:simpleType>
        <xsd:restriction base="dms:Choice">
          <xsd:enumeration value="Applicant"/>
          <xsd:enumeration value="Joint Applicant"/>
          <xsd:enumeration value="Relevant Authority"/>
          <xsd:enumeration value="Representative"/>
          <xsd:enumeration value="Responsible Authority"/>
          <xsd:enumeration value="Respondent"/>
          <xsd:enumeration value="Joint Respondent"/>
          <xsd:enumeration value="Referral Authority"/>
          <xsd:enumeration value="Applicant / Responsible Authority"/>
          <xsd:enumeration value="Decision Maker"/>
          <xsd:enumeration value="Affected Person"/>
          <xsd:enumeration value="Joint Affected"/>
          <xsd:enumeration value="Interested Persons"/>
          <xsd:enumeration value="Joint Interested"/>
          <xsd:enumeration value="Non-party"/>
          <xsd:enumeration value="Other"/>
        </xsd:restriction>
      </xsd:simpleType>
    </xsd:element>
    <xsd:element name="Owner_x002f_Creator" ma:index="16" nillable="true" ma:displayName="Owner / Creator" ma:format="Dropdown" ma:internalName="Owner_x002f_Creator">
      <xsd:simpleType>
        <xsd:restriction base="dms:Text">
          <xsd:maxLength value="255"/>
        </xsd:restriction>
      </xsd:simpleType>
    </xsd:element>
    <xsd:element name="Classification" ma:index="17" nillable="true" ma:displayName="Classification" ma:format="Dropdown" ma:internalName="Classification">
      <xsd:simpleType>
        <xsd:restriction base="dms:Text">
          <xsd:maxLength value="255"/>
        </xsd:restriction>
      </xsd:simpleType>
    </xsd:element>
    <xsd:element name="SecurityStatus" ma:index="18" nillable="true" ma:displayName="Security Status" ma:format="Dropdown" ma:internalName="SecurityStatus">
      <xsd:simpleType>
        <xsd:restriction base="dms:Choice">
          <xsd:enumeration value="Open"/>
          <xsd:enumeration value="Confidential"/>
          <xsd:enumeration value="Suppressed"/>
          <xsd:enumeration value="Privilege (S54)"/>
        </xsd:restriction>
      </xsd:simpleType>
    </xsd:element>
    <xsd:element name="DateDigitised" ma:index="19" nillable="true" ma:displayName="Date Digitised" ma:format="DateOnly" ma:internalName="DateDigitised">
      <xsd:simpleType>
        <xsd:restriction base="dms:DateTime"/>
      </xsd:simpleType>
    </xsd:element>
    <xsd:element name="DigitisingEquipment" ma:index="20" nillable="true" ma:displayName="Digitising Equipment" ma:format="Dropdown" ma:internalName="DigitisingEquipment">
      <xsd:simpleType>
        <xsd:restriction base="dms:Text">
          <xsd:maxLength value="255"/>
        </xsd:restriction>
      </xsd:simpleType>
    </xsd:element>
    <xsd:element name="DigitisedBy" ma:index="21" nillable="true" ma:displayName="Digitised By" ma:format="Dropdown" ma:internalName="DigitisedBy">
      <xsd:simpleType>
        <xsd:restriction base="dms:Text">
          <xsd:maxLength value="255"/>
        </xsd:restriction>
      </xsd:simpleType>
    </xsd:element>
    <xsd:element name="DateSent_x002f_Posted" ma:index="22" nillable="true" ma:displayName="Date Sent/Posted" ma:format="DateOnly" ma:internalName="DateSent_x002f_Posted">
      <xsd:simpleType>
        <xsd:restriction base="dms:DateTime"/>
      </xsd:simpleType>
    </xsd:element>
    <xsd:element name="SentBy" ma:index="23" nillable="true" ma:displayName="Sent By" ma:format="Dropdown" ma:internalName="SentBy">
      <xsd:simpleType>
        <xsd:restriction base="dms:Text">
          <xsd:maxLength value="255"/>
        </xsd:restriction>
      </xsd:simpleType>
    </xsd:element>
    <xsd:element name="DateClosed" ma:index="24" nillable="true" ma:displayName="Date Closed" ma:format="DateOnly" ma:internalName="DateClosed">
      <xsd:simpleType>
        <xsd:restriction base="dms:DateTime"/>
      </xsd:simpleType>
    </xsd:element>
    <xsd:element name="DateDisposed" ma:index="25" nillable="true" ma:displayName="Date Disposed" ma:format="DateOnly" ma:internalName="DateDisposed">
      <xsd:simpleType>
        <xsd:restriction base="dms:DateTime"/>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Tags" ma:index="28" nillable="true" ma:displayName="Tags" ma:internalName="MediaServiceAutoTags"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Sort_x0020_Order" ma:index="32" nillable="true" ma:displayName="Sort Order" ma:decimals="0" ma:internalName="Sort_x0020_Order">
      <xsd:simpleType>
        <xsd:restriction base="dms:Number"/>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P_x002d_Number" ma:index="35" nillable="true" ma:displayName="P-Number" ma:format="Dropdown" ma:internalName="P_x002d_Number">
      <xsd:simpleType>
        <xsd:restriction base="dms:Text">
          <xsd:maxLength value="15"/>
        </xsd:restriction>
      </xsd:simpleType>
    </xsd:element>
    <xsd:element name="MediaServiceDateTaken" ma:index="36" nillable="true" ma:displayName="MediaServiceDateTaken" ma:hidden="true" ma:internalName="MediaServiceDateTaken"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element name="Expert_x002f_Laypersonname" ma:index="40" nillable="true" ma:displayName="Expert / Lay person" ma:format="Dropdown" ma:internalName="Expert_x002f_Laypersonname">
      <xsd:simpleType>
        <xsd:restriction base="dms:Choice">
          <xsd:enumeration value="Expert"/>
          <xsd:enumeration value="Lay person"/>
        </xsd:restriction>
      </xsd:simpleType>
    </xsd:element>
    <xsd:element name="Expertise" ma:index="41" nillable="true" ma:displayName="Expertise" ma:format="Dropdown" ma:internalName="Expertise">
      <xsd:simpleType>
        <xsd:restriction base="dms:Text">
          <xsd:maxLength value="255"/>
        </xsd:restriction>
      </xsd:simpleType>
    </xsd:element>
    <xsd:element name="Party_x0020_Type" ma:index="42" nillable="true" ma:displayName="Party Type" ma:format="Dropdown" ma:internalName="Party_x0020_Type">
      <xsd:simpleType>
        <xsd:restriction base="dms:Choice">
          <xsd:enumeration value="Affected Person"/>
          <xsd:enumeration value="Applicant"/>
          <xsd:enumeration value="Applicant / Responsible Authority"/>
          <xsd:enumeration value="Decision Maker"/>
          <xsd:enumeration value="Determining Referral Authority"/>
          <xsd:enumeration value="Interested Person"/>
          <xsd:enumeration value="Joinder"/>
          <xsd:enumeration value="Joint Affected Person"/>
          <xsd:enumeration value="Joint Affected (Spokesperson)"/>
          <xsd:enumeration value="Joint Applicant"/>
          <xsd:enumeration value="Joint Applicant (Spokesperson)"/>
          <xsd:enumeration value="Joint Interested Person"/>
          <xsd:enumeration value="Joint Interest (Spokesperson)"/>
          <xsd:enumeration value="Joint Respondent"/>
          <xsd:enumeration value="Joint Respondent (Spokesperson)"/>
          <xsd:enumeration value="Mortgagee"/>
          <xsd:enumeration value="Non Party Representative"/>
          <xsd:enumeration value="Non-Original Objector"/>
          <xsd:enumeration value="Non-Party"/>
          <xsd:enumeration value="Occupier"/>
          <xsd:enumeration value="Original Objector"/>
          <xsd:enumeration value="Other"/>
          <xsd:enumeration value="Owner"/>
          <xsd:enumeration value="Permit Applicant"/>
          <xsd:enumeration value="Recommending Referral Authority"/>
          <xsd:enumeration value="Referral Authority"/>
          <xsd:enumeration value="Relevant Authority"/>
          <xsd:enumeration value="Respondent"/>
          <xsd:enumeration value="Responsible Authority"/>
          <xsd:enumeration value="Struck Out"/>
          <xsd:enumeration value="Valuation Authority"/>
          <xsd:enumeration value="Withdrawn"/>
        </xsd:restriction>
      </xsd:simpleType>
    </xsd:element>
    <xsd:element name="WitnessName" ma:index="43" nillable="true" ma:displayName="Witness / Expert / Lay person name" ma:format="Dropdown" ma:internalName="WitnessName">
      <xsd:simpleType>
        <xsd:restriction base="dms:Text">
          <xsd:maxLength value="255"/>
        </xsd:restriction>
      </xsd:simpleType>
    </xsd:element>
    <xsd:element name="Thumbnail" ma:index="44" nillable="true" ma:displayName="Thumbnail" ma:format="Dropdown" ma:internalName="Thumbnail">
      <xsd:simpleType>
        <xsd:restriction base="dms:Text">
          <xsd:maxLength value="255"/>
        </xsd:restriction>
      </xsd:simpleType>
    </xsd:element>
    <xsd:element name="SentOn" ma:index="45" nillable="true" ma:displayName="Sent by VCAT On" ma:description="The time the email was sent by VCAT" ma:format="DateTime" ma:internalName="SentOn">
      <xsd:simpleType>
        <xsd:restriction base="dms:DateTime"/>
      </xsd:simpleType>
    </xsd:element>
    <xsd:element name="ReceivedOn" ma:index="46" nillable="true" ma:displayName="Received On" ma:description="The date the email was received in the VCAT Admin mailbox. " ma:format="DateTime" ma:internalName="ReceivedOn">
      <xsd:simpleType>
        <xsd:restriction base="dms:DateTime"/>
      </xsd:simpleType>
    </xsd:element>
    <xsd:element name="AttachmentGroup" ma:index="47" nillable="true" ma:displayName="Attachment Group" ma:description="Used to group attachments with their header file e.g. Email and its attachments" ma:format="Dropdown" ma:internalName="AttachmentGroup">
      <xsd:simpleType>
        <xsd:restriction base="dms:Text">
          <xsd:maxLength value="255"/>
        </xsd:restriction>
      </xsd:simpleType>
    </xsd:element>
    <xsd:element name="MovedtoRecordsOn" ma:index="48" nillable="true" ma:displayName="Moved to Records On" ma:description="When was this item moved to the Records Management folder?" ma:format="DateTime" ma:internalName="MovedtoRecordsOn">
      <xsd:simpleType>
        <xsd:restriction base="dms:DateTime"/>
      </xsd:simpleType>
    </xsd:element>
    <xsd:element name="MovedtoRecordsBy" ma:index="49" nillable="true" ma:displayName="Moved to Records By" ma:description="Who moved this item to the Records Management folder?" ma:format="Dropdown" ma:internalName="MovedtoRecordsBy">
      <xsd:simpleType>
        <xsd:restriction base="dms:Text">
          <xsd:maxLength value="255"/>
        </xsd:restriction>
      </xsd:simpleType>
    </xsd:element>
    <xsd:element name="OriginalPath" ma:index="50" nillable="true" ma:displayName="Original Path" ma:description="The Original Path before the item was moved to the Records Management folder." ma:format="Dropdown" ma:internalName="OriginalPath">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869b85-0445-4a49-98bd-5af57bfe952c" elementFormDefault="qualified">
    <xsd:import namespace="http://schemas.microsoft.com/office/2006/documentManagement/types"/>
    <xsd:import namespace="http://schemas.microsoft.com/office/infopath/2007/PartnerControls"/>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wner_x002f_Creator xmlns="dc52a2e6-3ccd-4a27-abcc-584cde9fa38b" xsi:nil="true"/>
    <SecurityStatus xmlns="dc52a2e6-3ccd-4a27-abcc-584cde9fa38b" xsi:nil="true"/>
    <DateDisposed xmlns="dc52a2e6-3ccd-4a27-abcc-584cde9fa38b" xsi:nil="true"/>
    <WitnessName xmlns="dc52a2e6-3ccd-4a27-abcc-584cde9fa38b" xsi:nil="true"/>
    <AttachmentGroup xmlns="dc52a2e6-3ccd-4a27-abcc-584cde9fa38b" xsi:nil="true"/>
    <OriginalCorrespondence xmlns="dc52a2e6-3ccd-4a27-abcc-584cde9fa38b">
      <Url xsi:nil="true"/>
      <Description xsi:nil="true"/>
    </OriginalCorrespondence>
    <Category xmlns="dc52a2e6-3ccd-4a27-abcc-584cde9fa38b"/>
    <P_x002d_Number xmlns="dc52a2e6-3ccd-4a27-abcc-584cde9fa38b" xsi:nil="true"/>
    <Thumbnail xmlns="dc52a2e6-3ccd-4a27-abcc-584cde9fa38b" xsi:nil="true"/>
    <Classification xmlns="dc52a2e6-3ccd-4a27-abcc-584cde9fa38b" xsi:nil="true"/>
    <Party_x0020_Type xmlns="dc52a2e6-3ccd-4a27-abcc-584cde9fa38b" xsi:nil="true"/>
    <DocumentType xmlns="dc52a2e6-3ccd-4a27-abcc-584cde9fa38b" xsi:nil="true"/>
    <DateDigitised xmlns="dc52a2e6-3ccd-4a27-abcc-584cde9fa38b" xsi:nil="true"/>
    <DateSent_x002f_Posted xmlns="dc52a2e6-3ccd-4a27-abcc-584cde9fa38b" xsi:nil="true"/>
    <Sort_x0020_Order xmlns="dc52a2e6-3ccd-4a27-abcc-584cde9fa38b" xsi:nil="true"/>
    <PartyRole xmlns="dc52a2e6-3ccd-4a27-abcc-584cde9fa38b" xsi:nil="true"/>
    <DateClosed xmlns="dc52a2e6-3ccd-4a27-abcc-584cde9fa38b" xsi:nil="true"/>
    <SentBy xmlns="dc52a2e6-3ccd-4a27-abcc-584cde9fa38b" xsi:nil="true"/>
    <Expertise xmlns="dc52a2e6-3ccd-4a27-abcc-584cde9fa38b" xsi:nil="true"/>
    <Notes xmlns="dc52a2e6-3ccd-4a27-abcc-584cde9fa38b" xsi:nil="true"/>
    <DigitisedBy xmlns="dc52a2e6-3ccd-4a27-abcc-584cde9fa38b" xsi:nil="true"/>
    <DisposalStatus xmlns="dc52a2e6-3ccd-4a27-abcc-584cde9fa38b" xsi:nil="true"/>
    <ReceivedOn xmlns="dc52a2e6-3ccd-4a27-abcc-584cde9fa38b" xsi:nil="true"/>
    <TribunalBook xmlns="dc52a2e6-3ccd-4a27-abcc-584cde9fa38b">false</TribunalBook>
    <LodgementDate xmlns="dc52a2e6-3ccd-4a27-abcc-584cde9fa38b" xsi:nil="true"/>
    <MovedtoRecordsBy xmlns="dc52a2e6-3ccd-4a27-abcc-584cde9fa38b" xsi:nil="true"/>
    <MovedtoRecordsOn xmlns="dc52a2e6-3ccd-4a27-abcc-584cde9fa38b" xsi:nil="true"/>
    <Expert_x002f_Laypersonname xmlns="dc52a2e6-3ccd-4a27-abcc-584cde9fa38b" xsi:nil="true"/>
    <SentOn xmlns="dc52a2e6-3ccd-4a27-abcc-584cde9fa38b" xsi:nil="true"/>
    <OriginalPath xmlns="dc52a2e6-3ccd-4a27-abcc-584cde9fa38b" xsi:nil="true"/>
    <DigitisingEquipment xmlns="dc52a2e6-3ccd-4a27-abcc-584cde9fa38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4E7C75-96B2-43CD-8AF2-86E40D3953AD}">
  <ds:schemaRefs>
    <ds:schemaRef ds:uri="http://schemas.openxmlformats.org/officeDocument/2006/bibliography"/>
  </ds:schemaRefs>
</ds:datastoreItem>
</file>

<file path=customXml/itemProps2.xml><?xml version="1.0" encoding="utf-8"?>
<ds:datastoreItem xmlns:ds="http://schemas.openxmlformats.org/officeDocument/2006/customXml" ds:itemID="{36959CF9-E858-400A-81A5-E33E630384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52a2e6-3ccd-4a27-abcc-584cde9fa38b"/>
    <ds:schemaRef ds:uri="cb869b85-0445-4a49-98bd-5af57bfe95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381318-D291-432D-9AD9-63BB83137691}">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cb869b85-0445-4a49-98bd-5af57bfe952c"/>
    <ds:schemaRef ds:uri="dc52a2e6-3ccd-4a27-abcc-584cde9fa38b"/>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CC8A4996-C5A7-486E-BF5B-FF7A964F7C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3472</Words>
  <Characters>19796</Characters>
  <Application>Microsoft Office Word</Application>
  <DocSecurity>8</DocSecurity>
  <Lines>164</Lines>
  <Paragraphs>46</Paragraphs>
  <ScaleCrop>false</ScaleCrop>
  <HeadingPairs>
    <vt:vector size="2" baseType="variant">
      <vt:variant>
        <vt:lpstr>Title</vt:lpstr>
      </vt:variant>
      <vt:variant>
        <vt:i4>1</vt:i4>
      </vt:variant>
    </vt:vector>
  </HeadingPairs>
  <TitlesOfParts>
    <vt:vector size="1" baseType="lpstr">
      <vt:lpstr>VICTORIAN CIVIL AND ADMINISTRATIVE TRIBUNAL</vt:lpstr>
    </vt:vector>
  </TitlesOfParts>
  <Company/>
  <LinksUpToDate>false</LinksUpToDate>
  <CharactersWithSpaces>23222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subject/>
  <dc:creator>Julie Haffenden (CSV)</dc:creator>
  <cp:keywords/>
  <dc:description/>
  <cp:lastModifiedBy>Julie HAFFENDEN (CSV)</cp:lastModifiedBy>
  <cp:revision>2</cp:revision>
  <cp:lastPrinted>2016-10-05T18:04:00Z</cp:lastPrinted>
  <dcterms:created xsi:type="dcterms:W3CDTF">2021-04-21T00:37:00Z</dcterms:created>
  <dcterms:modified xsi:type="dcterms:W3CDTF">2021-04-21T00:37:00Z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0x010100326F292691BA1A4BBE095408DAB21DBE</vt:lpwstr>
  </property>
</Properties>
</file>