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5BCD7" w14:textId="4A953855" w:rsidR="00DC1FE6" w:rsidRPr="00D660C2" w:rsidRDefault="007C574A" w:rsidP="00DC1FE6">
      <w:pPr>
        <w:pStyle w:val="TitlePage1"/>
      </w:pPr>
      <w:r>
        <w:rPr>
          <w:noProof/>
        </w:rPr>
        <w:drawing>
          <wp:anchor distT="0" distB="0" distL="114300" distR="114300" simplePos="0" relativeHeight="251658240" behindDoc="1" locked="0" layoutInCell="1" allowOverlap="1" wp14:anchorId="599EF5FC" wp14:editId="22838A46">
            <wp:simplePos x="0" y="0"/>
            <wp:positionH relativeFrom="column">
              <wp:posOffset>5183505</wp:posOffset>
            </wp:positionH>
            <wp:positionV relativeFrom="paragraph">
              <wp:posOffset>8459470</wp:posOffset>
            </wp:positionV>
            <wp:extent cx="1080000" cy="1080000"/>
            <wp:effectExtent l="0" t="0" r="6350" b="6350"/>
            <wp:wrapNone/>
            <wp:docPr id="2" name="VCAT Seal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C1FE6" w:rsidRPr="00D660C2">
        <w:t>VICTORIAN CIVIL AND ADMINISTRATIVE TRIBUNAL</w:t>
      </w:r>
    </w:p>
    <w:p w14:paraId="0A6A5ACD" w14:textId="77777777" w:rsidR="00DC1FE6" w:rsidRPr="00D660C2" w:rsidRDefault="00DC1FE6" w:rsidP="00DC1FE6">
      <w:pPr>
        <w:pStyle w:val="TitlePage1"/>
      </w:pPr>
      <w:bookmarkStart w:id="0" w:name="Division"/>
      <w:bookmarkEnd w:id="0"/>
      <w:r w:rsidRPr="0069216B">
        <w:t xml:space="preserve">planning and environment </w:t>
      </w:r>
      <w:r w:rsidRPr="00D660C2">
        <w:t>DIVISION</w:t>
      </w:r>
    </w:p>
    <w:tbl>
      <w:tblPr>
        <w:tblW w:w="5166" w:type="pct"/>
        <w:tblInd w:w="-142" w:type="dxa"/>
        <w:tblLook w:val="0000" w:firstRow="0" w:lastRow="0" w:firstColumn="0" w:lastColumn="0" w:noHBand="0" w:noVBand="0"/>
      </w:tblPr>
      <w:tblGrid>
        <w:gridCol w:w="142"/>
        <w:gridCol w:w="4494"/>
        <w:gridCol w:w="4010"/>
        <w:gridCol w:w="141"/>
      </w:tblGrid>
      <w:tr w:rsidR="00DC1FE6" w:rsidRPr="00D660C2" w14:paraId="3DD409C5" w14:textId="77777777" w:rsidTr="005D00F7">
        <w:trPr>
          <w:gridBefore w:val="1"/>
          <w:wBefore w:w="81" w:type="pct"/>
          <w:cantSplit/>
        </w:trPr>
        <w:tc>
          <w:tcPr>
            <w:tcW w:w="2557" w:type="pct"/>
          </w:tcPr>
          <w:p w14:paraId="2D2A2405" w14:textId="77777777" w:rsidR="00DC1FE6" w:rsidRPr="00D660C2" w:rsidRDefault="00DC1FE6" w:rsidP="00FC78BD">
            <w:pPr>
              <w:pStyle w:val="TitlePage2"/>
            </w:pPr>
            <w:bookmarkStart w:id="1" w:name="SubDivision"/>
            <w:bookmarkEnd w:id="1"/>
            <w:r w:rsidRPr="00D660C2">
              <w:t>planning and environment LIST</w:t>
            </w:r>
          </w:p>
        </w:tc>
        <w:tc>
          <w:tcPr>
            <w:tcW w:w="2362" w:type="pct"/>
            <w:gridSpan w:val="2"/>
          </w:tcPr>
          <w:p w14:paraId="44B49A79" w14:textId="61B22D52" w:rsidR="00DC1FE6" w:rsidRDefault="00DC1FE6" w:rsidP="00FC78BD">
            <w:pPr>
              <w:pStyle w:val="TitlePage3"/>
              <w:rPr>
                <w:noProof/>
              </w:rPr>
            </w:pPr>
            <w:bookmarkStart w:id="2" w:name="FileNo1"/>
            <w:bookmarkEnd w:id="2"/>
            <w:r w:rsidRPr="00D660C2">
              <w:t xml:space="preserve">vcat reference No.  </w:t>
            </w:r>
            <w:r w:rsidR="005D5D96">
              <w:rPr>
                <w:noProof/>
              </w:rPr>
              <w:t>P44/2020</w:t>
            </w:r>
          </w:p>
          <w:p w14:paraId="151C7CCB" w14:textId="44512962" w:rsidR="000B3F6F" w:rsidRPr="00D660C2" w:rsidRDefault="000B3F6F" w:rsidP="00FC78BD">
            <w:pPr>
              <w:pStyle w:val="TitlePage3"/>
            </w:pPr>
            <w:r>
              <w:rPr>
                <w:noProof/>
              </w:rPr>
              <w:t xml:space="preserve">PERMIT </w:t>
            </w:r>
            <w:r w:rsidR="001E7ECE">
              <w:rPr>
                <w:noProof/>
              </w:rPr>
              <w:t xml:space="preserve">APPLICATION </w:t>
            </w:r>
            <w:r>
              <w:rPr>
                <w:noProof/>
              </w:rPr>
              <w:t xml:space="preserve">NO. </w:t>
            </w:r>
            <w:r w:rsidR="00B82267">
              <w:rPr>
                <w:noProof/>
              </w:rPr>
              <w:t>TPA/</w:t>
            </w:r>
            <w:r w:rsidR="005D5D96">
              <w:rPr>
                <w:noProof/>
              </w:rPr>
              <w:t>50280</w:t>
            </w:r>
          </w:p>
          <w:p w14:paraId="5F96F8CF" w14:textId="77777777" w:rsidR="00DC1FE6" w:rsidRPr="00D660C2" w:rsidRDefault="00DC1FE6" w:rsidP="00FC78BD">
            <w:pPr>
              <w:pStyle w:val="TitlePage3"/>
            </w:pPr>
          </w:p>
        </w:tc>
      </w:tr>
      <w:tr w:rsidR="005D00F7" w:rsidRPr="00D660C2" w14:paraId="7017702E" w14:textId="77777777" w:rsidTr="005D00F7">
        <w:trPr>
          <w:gridBefore w:val="1"/>
          <w:wBefore w:w="81" w:type="pct"/>
          <w:cantSplit/>
        </w:trPr>
        <w:tc>
          <w:tcPr>
            <w:tcW w:w="2557" w:type="pct"/>
          </w:tcPr>
          <w:p w14:paraId="74BE1A61" w14:textId="77777777" w:rsidR="005D00F7" w:rsidRPr="00D660C2" w:rsidRDefault="005D00F7" w:rsidP="005D00F7">
            <w:pPr>
              <w:pStyle w:val="TitlePage2"/>
              <w:spacing w:before="0" w:after="0"/>
            </w:pPr>
          </w:p>
        </w:tc>
        <w:tc>
          <w:tcPr>
            <w:tcW w:w="2362" w:type="pct"/>
            <w:gridSpan w:val="2"/>
          </w:tcPr>
          <w:p w14:paraId="3C06E8A2" w14:textId="77777777" w:rsidR="005D00F7" w:rsidRPr="00D660C2" w:rsidRDefault="005D00F7" w:rsidP="005D00F7">
            <w:pPr>
              <w:pStyle w:val="TitlePage3"/>
              <w:spacing w:before="0"/>
            </w:pPr>
          </w:p>
        </w:tc>
      </w:tr>
      <w:tr w:rsidR="005D00F7" w:rsidRPr="008967AE" w14:paraId="58F12BCD" w14:textId="77777777" w:rsidTr="005D00F7">
        <w:tblPrEx>
          <w:jc w:val="center"/>
          <w:tblInd w:w="0" w:type="dxa"/>
        </w:tblPrEx>
        <w:trPr>
          <w:gridAfter w:val="1"/>
          <w:wAfter w:w="80" w:type="pct"/>
          <w:cantSplit/>
          <w:jc w:val="center"/>
        </w:trPr>
        <w:tc>
          <w:tcPr>
            <w:tcW w:w="4920" w:type="pct"/>
            <w:gridSpan w:val="3"/>
          </w:tcPr>
          <w:p w14:paraId="28121660" w14:textId="77777777" w:rsidR="005D00F7" w:rsidRPr="008967AE" w:rsidRDefault="005D00F7" w:rsidP="00FC78BD">
            <w:pPr>
              <w:pStyle w:val="TitlePage2"/>
              <w:spacing w:before="0"/>
              <w:jc w:val="center"/>
              <w:rPr>
                <w:sz w:val="20"/>
                <w:szCs w:val="20"/>
              </w:rPr>
            </w:pPr>
            <w:r w:rsidRPr="008967AE">
              <w:rPr>
                <w:sz w:val="20"/>
                <w:szCs w:val="20"/>
              </w:rPr>
              <w:t>CATCHWORDS</w:t>
            </w:r>
          </w:p>
        </w:tc>
      </w:tr>
      <w:tr w:rsidR="005D00F7" w14:paraId="6C617150" w14:textId="77777777" w:rsidTr="005D00F7">
        <w:tblPrEx>
          <w:jc w:val="center"/>
          <w:tblInd w:w="0" w:type="dxa"/>
        </w:tblPrEx>
        <w:trPr>
          <w:gridAfter w:val="1"/>
          <w:wAfter w:w="80" w:type="pct"/>
          <w:cantSplit/>
          <w:jc w:val="center"/>
        </w:trPr>
        <w:tc>
          <w:tcPr>
            <w:tcW w:w="4920" w:type="pct"/>
            <w:gridSpan w:val="3"/>
          </w:tcPr>
          <w:p w14:paraId="372A49E4" w14:textId="6A9D420F" w:rsidR="005D00F7" w:rsidRDefault="005D00F7" w:rsidP="00FC78BD">
            <w:pPr>
              <w:pStyle w:val="Catchwords"/>
              <w:ind w:right="-102"/>
              <w:jc w:val="center"/>
            </w:pPr>
            <w:r w:rsidRPr="00FA2B29">
              <w:t>Section</w:t>
            </w:r>
            <w:r>
              <w:t xml:space="preserve"> </w:t>
            </w:r>
            <w:r w:rsidR="005D5D96">
              <w:t>77</w:t>
            </w:r>
            <w:r w:rsidRPr="00FA2B29">
              <w:t xml:space="preserve"> of the </w:t>
            </w:r>
            <w:r w:rsidRPr="00FA2B29">
              <w:rPr>
                <w:i/>
              </w:rPr>
              <w:t>Planning and Environment Act 1987;</w:t>
            </w:r>
            <w:r w:rsidRPr="00FA2B29">
              <w:t xml:space="preserve"> </w:t>
            </w:r>
            <w:r w:rsidR="00F75913">
              <w:t>Monash</w:t>
            </w:r>
            <w:r w:rsidRPr="00FA2B29">
              <w:t xml:space="preserve"> Planning Scheme; </w:t>
            </w:r>
            <w:r w:rsidR="005D5D96">
              <w:t>Side by Side Two Storey Dwellings</w:t>
            </w:r>
            <w:r w:rsidR="005B1D5B">
              <w:t>;</w:t>
            </w:r>
            <w:r w:rsidR="005D5D96">
              <w:t xml:space="preserve"> General </w:t>
            </w:r>
            <w:r w:rsidR="001E7ECE">
              <w:t xml:space="preserve">Residential Zone – Schedule </w:t>
            </w:r>
            <w:r w:rsidR="005D5D96">
              <w:t>3</w:t>
            </w:r>
            <w:r w:rsidR="001E7ECE">
              <w:t xml:space="preserve">; </w:t>
            </w:r>
            <w:r w:rsidR="00A55761">
              <w:t>Garden City Suburbs (Northern)</w:t>
            </w:r>
            <w:r w:rsidR="005D5D96">
              <w:t>; Two Driveways; Impact on Street Tree; Boundary Development</w:t>
            </w:r>
            <w:r w:rsidRPr="00FA2B29">
              <w:t>.</w:t>
            </w:r>
          </w:p>
        </w:tc>
      </w:tr>
    </w:tbl>
    <w:p w14:paraId="0A87ABFA" w14:textId="343F4380" w:rsidR="00DC1FE6" w:rsidRDefault="00DC1FE6" w:rsidP="00DC1FE6"/>
    <w:tbl>
      <w:tblPr>
        <w:tblW w:w="5000" w:type="pct"/>
        <w:tblLook w:val="0000" w:firstRow="0" w:lastRow="0" w:firstColumn="0" w:lastColumn="0" w:noHBand="0" w:noVBand="0"/>
      </w:tblPr>
      <w:tblGrid>
        <w:gridCol w:w="3441"/>
        <w:gridCol w:w="5064"/>
      </w:tblGrid>
      <w:tr w:rsidR="00F75913" w:rsidRPr="00D660C2" w14:paraId="7EAF3B8A" w14:textId="77777777" w:rsidTr="00FC78BD">
        <w:tc>
          <w:tcPr>
            <w:tcW w:w="2023" w:type="pct"/>
          </w:tcPr>
          <w:p w14:paraId="6C0715AF" w14:textId="442D806B" w:rsidR="00F75913" w:rsidRPr="00D660C2" w:rsidRDefault="00F75913" w:rsidP="00FC78BD">
            <w:pPr>
              <w:pStyle w:val="TitlePage2"/>
            </w:pPr>
            <w:r w:rsidRPr="00D660C2">
              <w:t>APPLICANT</w:t>
            </w:r>
            <w:r w:rsidR="00A55761">
              <w:t>s</w:t>
            </w:r>
          </w:p>
        </w:tc>
        <w:tc>
          <w:tcPr>
            <w:tcW w:w="2977" w:type="pct"/>
          </w:tcPr>
          <w:p w14:paraId="66D7C50C" w14:textId="40B2745C" w:rsidR="00F75913" w:rsidRPr="00D660C2" w:rsidRDefault="00C50DF5" w:rsidP="00FC78BD">
            <w:pPr>
              <w:pStyle w:val="TitlePagetext"/>
            </w:pPr>
            <w:r>
              <w:rPr>
                <w:noProof/>
              </w:rPr>
              <w:t>Asim Ahmed, Faiza Ahmed, Mario Highmoor &amp; Preeti Highmoor</w:t>
            </w:r>
          </w:p>
        </w:tc>
      </w:tr>
      <w:tr w:rsidR="00F75913" w:rsidRPr="00D660C2" w14:paraId="550C535B" w14:textId="77777777" w:rsidTr="00FC78BD">
        <w:tc>
          <w:tcPr>
            <w:tcW w:w="2023" w:type="pct"/>
          </w:tcPr>
          <w:p w14:paraId="238C29B3" w14:textId="77777777" w:rsidR="00F75913" w:rsidRPr="00D660C2" w:rsidRDefault="00F75913" w:rsidP="00FC78BD">
            <w:pPr>
              <w:pStyle w:val="TitlePage2"/>
            </w:pPr>
            <w:r w:rsidRPr="00D660C2">
              <w:t>responsible authority</w:t>
            </w:r>
          </w:p>
        </w:tc>
        <w:tc>
          <w:tcPr>
            <w:tcW w:w="2977" w:type="pct"/>
          </w:tcPr>
          <w:p w14:paraId="53288893" w14:textId="77777777" w:rsidR="00F75913" w:rsidRPr="00D660C2" w:rsidRDefault="00F75913" w:rsidP="00FC78BD">
            <w:pPr>
              <w:pStyle w:val="TitlePagetext"/>
            </w:pPr>
            <w:r>
              <w:rPr>
                <w:noProof/>
              </w:rPr>
              <w:t>Monash City Council</w:t>
            </w:r>
          </w:p>
        </w:tc>
      </w:tr>
      <w:tr w:rsidR="00F75913" w:rsidRPr="00D660C2" w14:paraId="1BFB6530" w14:textId="77777777" w:rsidTr="00FC78BD">
        <w:tc>
          <w:tcPr>
            <w:tcW w:w="2023" w:type="pct"/>
          </w:tcPr>
          <w:p w14:paraId="54E6AFBC" w14:textId="77777777" w:rsidR="00F75913" w:rsidRPr="00D660C2" w:rsidRDefault="00F75913" w:rsidP="00FC78BD">
            <w:pPr>
              <w:pStyle w:val="TitlePage2"/>
            </w:pPr>
            <w:r w:rsidRPr="00D660C2">
              <w:t>SUBJECT LAND</w:t>
            </w:r>
          </w:p>
        </w:tc>
        <w:tc>
          <w:tcPr>
            <w:tcW w:w="2977" w:type="pct"/>
          </w:tcPr>
          <w:p w14:paraId="30F0ABCB" w14:textId="6AAA8650" w:rsidR="00F75913" w:rsidRPr="00D660C2" w:rsidRDefault="005D5D96" w:rsidP="00FC78BD">
            <w:pPr>
              <w:pStyle w:val="TitlePagetext"/>
            </w:pPr>
            <w:r>
              <w:t>4 Moorong Street, Chadstone</w:t>
            </w:r>
          </w:p>
        </w:tc>
      </w:tr>
      <w:tr w:rsidR="00F75913" w:rsidRPr="00D660C2" w14:paraId="52AFE427" w14:textId="77777777" w:rsidTr="00FC78BD">
        <w:tc>
          <w:tcPr>
            <w:tcW w:w="2023" w:type="pct"/>
          </w:tcPr>
          <w:p w14:paraId="16659F22" w14:textId="77777777" w:rsidR="00F75913" w:rsidRPr="00D660C2" w:rsidRDefault="00F75913" w:rsidP="00FC78BD">
            <w:pPr>
              <w:pStyle w:val="TitlePage2"/>
            </w:pPr>
            <w:r w:rsidRPr="00D660C2">
              <w:t>WHERE HELD</w:t>
            </w:r>
          </w:p>
        </w:tc>
        <w:tc>
          <w:tcPr>
            <w:tcW w:w="2977" w:type="pct"/>
          </w:tcPr>
          <w:p w14:paraId="539693C6" w14:textId="77777777" w:rsidR="00F75913" w:rsidRPr="00D660C2" w:rsidRDefault="00F75913" w:rsidP="00FC78BD">
            <w:pPr>
              <w:pStyle w:val="TitlePagetext"/>
            </w:pPr>
            <w:smartTag w:uri="urn:schemas-microsoft-com:office:smarttags" w:element="place">
              <w:smartTag w:uri="urn:schemas-microsoft-com:office:smarttags" w:element="City">
                <w:r w:rsidRPr="00D660C2">
                  <w:t>Melbourne</w:t>
                </w:r>
              </w:smartTag>
            </w:smartTag>
          </w:p>
        </w:tc>
      </w:tr>
      <w:tr w:rsidR="00DC1FE6" w:rsidRPr="00D660C2" w14:paraId="3CFA3EE5" w14:textId="77777777" w:rsidTr="00FC78BD">
        <w:tc>
          <w:tcPr>
            <w:tcW w:w="2023" w:type="pct"/>
          </w:tcPr>
          <w:p w14:paraId="5F79228B" w14:textId="77777777" w:rsidR="00DC1FE6" w:rsidRPr="00D660C2" w:rsidRDefault="00DC1FE6" w:rsidP="00FC78BD">
            <w:pPr>
              <w:pStyle w:val="TitlePage2"/>
            </w:pPr>
            <w:bookmarkStart w:id="3" w:name="DELitmo"/>
            <w:bookmarkStart w:id="4" w:name="DELcar"/>
            <w:bookmarkStart w:id="5" w:name="DELrespondents2"/>
            <w:bookmarkStart w:id="6" w:name="DELsubjectland"/>
            <w:r w:rsidRPr="00D660C2">
              <w:t>BEFORE</w:t>
            </w:r>
          </w:p>
        </w:tc>
        <w:tc>
          <w:tcPr>
            <w:tcW w:w="2977" w:type="pct"/>
          </w:tcPr>
          <w:p w14:paraId="452F270F" w14:textId="77777777" w:rsidR="00DC1FE6" w:rsidRPr="00D660C2" w:rsidRDefault="00DC1FE6" w:rsidP="00FC78BD">
            <w:pPr>
              <w:pStyle w:val="TitlePagetext"/>
            </w:pPr>
            <w:bookmarkStart w:id="7" w:name="Before"/>
            <w:bookmarkEnd w:id="7"/>
            <w:r>
              <w:t>Margaret Baird</w:t>
            </w:r>
            <w:r w:rsidRPr="00D660C2">
              <w:t xml:space="preserve">, </w:t>
            </w:r>
            <w:r>
              <w:t xml:space="preserve">Senior </w:t>
            </w:r>
            <w:r w:rsidRPr="00D660C2">
              <w:t>Member</w:t>
            </w:r>
          </w:p>
        </w:tc>
      </w:tr>
      <w:tr w:rsidR="00DC1FE6" w:rsidRPr="00D660C2" w14:paraId="4E33459A" w14:textId="77777777" w:rsidTr="00FC78BD">
        <w:tc>
          <w:tcPr>
            <w:tcW w:w="2023" w:type="pct"/>
          </w:tcPr>
          <w:p w14:paraId="59C9DB18" w14:textId="2AC2DD20" w:rsidR="00DC1FE6" w:rsidRPr="00D660C2" w:rsidRDefault="00DC1FE6" w:rsidP="00FC78BD">
            <w:pPr>
              <w:pStyle w:val="TitlePage2"/>
            </w:pPr>
            <w:r w:rsidRPr="00D660C2">
              <w:t>HEARING TYPE</w:t>
            </w:r>
          </w:p>
        </w:tc>
        <w:tc>
          <w:tcPr>
            <w:tcW w:w="2977" w:type="pct"/>
          </w:tcPr>
          <w:p w14:paraId="2FE70EE5" w14:textId="724E420F" w:rsidR="00DC1FE6" w:rsidRPr="00D660C2" w:rsidRDefault="00DC1FE6" w:rsidP="00FC78BD">
            <w:pPr>
              <w:pStyle w:val="TitlePagetext"/>
            </w:pPr>
            <w:r>
              <w:t>Hearing</w:t>
            </w:r>
          </w:p>
        </w:tc>
      </w:tr>
      <w:tr w:rsidR="00DC1FE6" w:rsidRPr="00D660C2" w14:paraId="745890B8" w14:textId="77777777" w:rsidTr="00FC78BD">
        <w:tc>
          <w:tcPr>
            <w:tcW w:w="2023" w:type="pct"/>
          </w:tcPr>
          <w:p w14:paraId="516DA7B8" w14:textId="6BFD37C6" w:rsidR="00DC1FE6" w:rsidRPr="00D660C2" w:rsidRDefault="00DC1FE6" w:rsidP="00FC78BD">
            <w:pPr>
              <w:pStyle w:val="TitlePage2"/>
            </w:pPr>
            <w:bookmarkStart w:id="8" w:name="INSresponsibleAuthority"/>
            <w:bookmarkEnd w:id="3"/>
            <w:bookmarkEnd w:id="4"/>
            <w:bookmarkEnd w:id="5"/>
            <w:bookmarkEnd w:id="6"/>
            <w:bookmarkEnd w:id="8"/>
            <w:r>
              <w:t>date of hearing</w:t>
            </w:r>
          </w:p>
        </w:tc>
        <w:tc>
          <w:tcPr>
            <w:tcW w:w="2977" w:type="pct"/>
          </w:tcPr>
          <w:p w14:paraId="76C8119C" w14:textId="158DDF0E" w:rsidR="00DC1FE6" w:rsidRPr="00D660C2" w:rsidRDefault="005D5D96" w:rsidP="00FC78BD">
            <w:pPr>
              <w:pStyle w:val="TitlePagetext"/>
            </w:pPr>
            <w:bookmarkStart w:id="9" w:name="Location"/>
            <w:bookmarkEnd w:id="9"/>
            <w:r>
              <w:t>18 June</w:t>
            </w:r>
            <w:r w:rsidR="00DC1FE6">
              <w:t xml:space="preserve"> 2020</w:t>
            </w:r>
          </w:p>
        </w:tc>
      </w:tr>
      <w:tr w:rsidR="00DC1FE6" w:rsidRPr="000B3F6F" w14:paraId="453A8344" w14:textId="77777777" w:rsidTr="00FC78BD">
        <w:tc>
          <w:tcPr>
            <w:tcW w:w="2023" w:type="pct"/>
          </w:tcPr>
          <w:p w14:paraId="5727F4B0" w14:textId="77777777" w:rsidR="00DC1FE6" w:rsidRPr="00D660C2" w:rsidRDefault="00DC1FE6" w:rsidP="00FC78BD">
            <w:pPr>
              <w:pStyle w:val="TitlePage2"/>
            </w:pPr>
            <w:r w:rsidRPr="00D660C2">
              <w:t>DATE OF ORDER</w:t>
            </w:r>
          </w:p>
        </w:tc>
        <w:tc>
          <w:tcPr>
            <w:tcW w:w="2977" w:type="pct"/>
          </w:tcPr>
          <w:p w14:paraId="32E2E366" w14:textId="3049CB5F" w:rsidR="00DC1FE6" w:rsidRPr="000E184A" w:rsidRDefault="00C3012E" w:rsidP="00FC78BD">
            <w:pPr>
              <w:pStyle w:val="TitlePagetext"/>
            </w:pPr>
            <w:bookmarkStart w:id="10" w:name="DateOrder"/>
            <w:bookmarkEnd w:id="10"/>
            <w:r w:rsidRPr="000E184A">
              <w:t>29</w:t>
            </w:r>
            <w:r w:rsidR="005D5D96" w:rsidRPr="000E184A">
              <w:t xml:space="preserve"> June</w:t>
            </w:r>
            <w:r w:rsidR="00DC1FE6" w:rsidRPr="000E184A">
              <w:t xml:space="preserve"> 2020</w:t>
            </w:r>
          </w:p>
        </w:tc>
      </w:tr>
      <w:tr w:rsidR="000B3F6F" w:rsidRPr="000B3F6F" w14:paraId="42255AD4" w14:textId="77777777" w:rsidTr="00FC78BD">
        <w:tc>
          <w:tcPr>
            <w:tcW w:w="2023" w:type="pct"/>
          </w:tcPr>
          <w:p w14:paraId="71648BDC" w14:textId="0588DB45" w:rsidR="000B3F6F" w:rsidRPr="00D660C2" w:rsidRDefault="000B3F6F" w:rsidP="00FC78BD">
            <w:pPr>
              <w:pStyle w:val="TitlePage2"/>
            </w:pPr>
            <w:r>
              <w:t>CITATION</w:t>
            </w:r>
          </w:p>
        </w:tc>
        <w:tc>
          <w:tcPr>
            <w:tcW w:w="2977" w:type="pct"/>
          </w:tcPr>
          <w:p w14:paraId="3956631E" w14:textId="66790BD1" w:rsidR="000B3F6F" w:rsidRPr="000E184A" w:rsidRDefault="00C50DF5" w:rsidP="00FC78BD">
            <w:pPr>
              <w:pStyle w:val="TitlePagetext"/>
            </w:pPr>
            <w:r w:rsidRPr="000E184A">
              <w:rPr>
                <w:noProof/>
              </w:rPr>
              <w:t>Ahmed</w:t>
            </w:r>
            <w:r w:rsidRPr="000E184A">
              <w:t xml:space="preserve"> </w:t>
            </w:r>
            <w:r w:rsidR="00FF3C19" w:rsidRPr="000E184A">
              <w:t>v</w:t>
            </w:r>
            <w:r w:rsidR="000B3F6F" w:rsidRPr="000E184A">
              <w:t xml:space="preserve"> </w:t>
            </w:r>
            <w:r w:rsidR="00F75913" w:rsidRPr="000E184A">
              <w:t>Monash</w:t>
            </w:r>
            <w:r w:rsidR="000B3F6F" w:rsidRPr="000E184A">
              <w:t xml:space="preserve"> CC [2020] VCAT </w:t>
            </w:r>
            <w:r w:rsidR="000E184A" w:rsidRPr="000E184A">
              <w:t>699</w:t>
            </w:r>
          </w:p>
        </w:tc>
      </w:tr>
    </w:tbl>
    <w:p w14:paraId="70CA9EEB" w14:textId="77777777" w:rsidR="00DC1FE6" w:rsidRPr="00D660C2" w:rsidRDefault="00DC1FE6" w:rsidP="00DC1FE6"/>
    <w:p w14:paraId="283F87B2" w14:textId="77777777" w:rsidR="00DC1FE6" w:rsidRDefault="00DC1FE6" w:rsidP="00DC1FE6">
      <w:pPr>
        <w:pStyle w:val="Heading1"/>
        <w:spacing w:before="0" w:after="0"/>
      </w:pPr>
      <w:r>
        <w:t>Order</w:t>
      </w:r>
    </w:p>
    <w:p w14:paraId="5E87BE66" w14:textId="77777777" w:rsidR="001E7ECE" w:rsidRDefault="001E7ECE" w:rsidP="00C50DF5">
      <w:pPr>
        <w:pStyle w:val="Heading3"/>
        <w:spacing w:before="120"/>
      </w:pPr>
      <w:r>
        <w:t>No permit granted</w:t>
      </w:r>
    </w:p>
    <w:p w14:paraId="18A02D3E" w14:textId="16B7D904" w:rsidR="001E7ECE" w:rsidRPr="0013669A" w:rsidRDefault="001E7ECE" w:rsidP="003530E5">
      <w:pPr>
        <w:pStyle w:val="Order2"/>
        <w:numPr>
          <w:ilvl w:val="0"/>
          <w:numId w:val="6"/>
        </w:numPr>
      </w:pPr>
      <w:r w:rsidRPr="0013669A">
        <w:rPr>
          <w:color w:val="000000"/>
        </w:rPr>
        <w:t xml:space="preserve">In application </w:t>
      </w:r>
      <w:r w:rsidR="005D5D96">
        <w:rPr>
          <w:color w:val="000000"/>
        </w:rPr>
        <w:t>P44/2020</w:t>
      </w:r>
      <w:r w:rsidRPr="0013669A">
        <w:rPr>
          <w:color w:val="000000"/>
        </w:rPr>
        <w:t>, the decision of the responsible authority is affirmed</w:t>
      </w:r>
      <w:r w:rsidRPr="0013669A">
        <w:t>.</w:t>
      </w:r>
    </w:p>
    <w:p w14:paraId="53F4635D" w14:textId="4449FB0A" w:rsidR="001E7ECE" w:rsidRPr="0013669A" w:rsidRDefault="001E7ECE" w:rsidP="003530E5">
      <w:pPr>
        <w:pStyle w:val="Order2"/>
        <w:numPr>
          <w:ilvl w:val="0"/>
          <w:numId w:val="6"/>
        </w:numPr>
      </w:pPr>
      <w:r w:rsidRPr="0013669A">
        <w:t xml:space="preserve">In permit application no. </w:t>
      </w:r>
      <w:r w:rsidR="00D66573">
        <w:t>TPA/</w:t>
      </w:r>
      <w:r w:rsidR="005D5D96">
        <w:t>50280</w:t>
      </w:r>
      <w:r w:rsidRPr="0013669A">
        <w:t>, no permit is granted.</w:t>
      </w:r>
    </w:p>
    <w:p w14:paraId="3B4EEA02" w14:textId="221A725A" w:rsidR="000B3F6F" w:rsidRDefault="000B3F6F" w:rsidP="00714E42">
      <w:pPr>
        <w:rPr>
          <w:b/>
          <w:bCs/>
        </w:rPr>
      </w:pPr>
    </w:p>
    <w:p w14:paraId="6BA1B90A" w14:textId="77777777" w:rsidR="00FB472A" w:rsidRDefault="00FB472A" w:rsidP="00714E42"/>
    <w:tbl>
      <w:tblPr>
        <w:tblW w:w="8721" w:type="dxa"/>
        <w:tblLayout w:type="fixed"/>
        <w:tblLook w:val="0000" w:firstRow="0" w:lastRow="0" w:firstColumn="0" w:lastColumn="0" w:noHBand="0" w:noVBand="0"/>
      </w:tblPr>
      <w:tblGrid>
        <w:gridCol w:w="2988"/>
        <w:gridCol w:w="2827"/>
        <w:gridCol w:w="2906"/>
      </w:tblGrid>
      <w:tr w:rsidR="00714E42" w:rsidRPr="00007380" w14:paraId="16DA0170" w14:textId="77777777" w:rsidTr="00FF3C19">
        <w:tc>
          <w:tcPr>
            <w:tcW w:w="2988" w:type="dxa"/>
          </w:tcPr>
          <w:p w14:paraId="071824EE" w14:textId="77777777" w:rsidR="00714E42" w:rsidRPr="00007380" w:rsidRDefault="00714E42" w:rsidP="00FC78BD">
            <w:pPr>
              <w:rPr>
                <w:b/>
              </w:rPr>
            </w:pPr>
            <w:r w:rsidRPr="00007380">
              <w:rPr>
                <w:b/>
              </w:rPr>
              <w:t>Margaret Baird</w:t>
            </w:r>
          </w:p>
          <w:p w14:paraId="444D7083" w14:textId="77777777" w:rsidR="00714E42" w:rsidRPr="00007380" w:rsidRDefault="00714E42" w:rsidP="00FC78BD">
            <w:pPr>
              <w:tabs>
                <w:tab w:val="left" w:pos="1515"/>
              </w:tabs>
              <w:rPr>
                <w:b/>
              </w:rPr>
            </w:pPr>
            <w:r w:rsidRPr="00007380">
              <w:rPr>
                <w:b/>
              </w:rPr>
              <w:t>Senior Member</w:t>
            </w:r>
          </w:p>
        </w:tc>
        <w:tc>
          <w:tcPr>
            <w:tcW w:w="2827" w:type="dxa"/>
          </w:tcPr>
          <w:p w14:paraId="69E23850" w14:textId="77777777" w:rsidR="00714E42" w:rsidRPr="00007380" w:rsidRDefault="00714E42" w:rsidP="00FC78BD">
            <w:pPr>
              <w:rPr>
                <w:b/>
              </w:rPr>
            </w:pPr>
          </w:p>
        </w:tc>
        <w:tc>
          <w:tcPr>
            <w:tcW w:w="2906" w:type="dxa"/>
          </w:tcPr>
          <w:p w14:paraId="26975664" w14:textId="77777777" w:rsidR="00714E42" w:rsidRPr="00007380" w:rsidRDefault="00714E42" w:rsidP="00FC78BD">
            <w:pPr>
              <w:rPr>
                <w:b/>
              </w:rPr>
            </w:pPr>
          </w:p>
        </w:tc>
      </w:tr>
    </w:tbl>
    <w:p w14:paraId="70831CCE" w14:textId="6507D769" w:rsidR="00FF3C19" w:rsidRDefault="00FF3C19" w:rsidP="000E184A">
      <w:pPr>
        <w:pStyle w:val="Heading1"/>
        <w:spacing w:before="120"/>
        <w:ind w:right="-284"/>
      </w:pPr>
      <w:r>
        <w:t>APPEARANCES</w:t>
      </w:r>
    </w:p>
    <w:tbl>
      <w:tblPr>
        <w:tblW w:w="5167" w:type="pct"/>
        <w:tblLook w:val="04A0" w:firstRow="1" w:lastRow="0" w:firstColumn="1" w:lastColumn="0" w:noHBand="0" w:noVBand="1"/>
      </w:tblPr>
      <w:tblGrid>
        <w:gridCol w:w="2695"/>
        <w:gridCol w:w="6094"/>
      </w:tblGrid>
      <w:tr w:rsidR="00FF3C19" w14:paraId="13C3CA84" w14:textId="77777777" w:rsidTr="004F6E65">
        <w:trPr>
          <w:cantSplit/>
        </w:trPr>
        <w:tc>
          <w:tcPr>
            <w:tcW w:w="1533" w:type="pct"/>
            <w:hideMark/>
          </w:tcPr>
          <w:p w14:paraId="70F4ED97" w14:textId="407E3113" w:rsidR="00FF3C19" w:rsidRDefault="00FF3C19">
            <w:pPr>
              <w:pStyle w:val="TitlePagetext"/>
            </w:pPr>
            <w:r>
              <w:t xml:space="preserve">For </w:t>
            </w:r>
            <w:r w:rsidR="00C50DF5">
              <w:rPr>
                <w:noProof/>
              </w:rPr>
              <w:t>Asim Ahmed, Faiza Ahmed, Mario Highmoor &amp; Preeti Highmoor</w:t>
            </w:r>
            <w:r w:rsidR="00C50DF5">
              <w:t xml:space="preserve"> </w:t>
            </w:r>
            <w:r>
              <w:t>[</w:t>
            </w:r>
            <w:r w:rsidRPr="00D071A9">
              <w:rPr>
                <w:b/>
                <w:bCs/>
              </w:rPr>
              <w:t>applicant</w:t>
            </w:r>
            <w:r w:rsidR="00A55761">
              <w:rPr>
                <w:b/>
                <w:bCs/>
              </w:rPr>
              <w:t>s</w:t>
            </w:r>
            <w:r>
              <w:t>]</w:t>
            </w:r>
          </w:p>
        </w:tc>
        <w:tc>
          <w:tcPr>
            <w:tcW w:w="3467" w:type="pct"/>
            <w:hideMark/>
          </w:tcPr>
          <w:p w14:paraId="1791E907" w14:textId="77777777" w:rsidR="00680508" w:rsidRDefault="00FF3C19">
            <w:pPr>
              <w:pStyle w:val="TitlePagetext"/>
            </w:pPr>
            <w:r>
              <w:t xml:space="preserve">Mr </w:t>
            </w:r>
            <w:r w:rsidR="00680508">
              <w:t>C Mackenzie, Planning Appeals.  He called the following person to present expert evidence:</w:t>
            </w:r>
          </w:p>
          <w:p w14:paraId="7F4BA347" w14:textId="263260AB" w:rsidR="00FF3C19" w:rsidRDefault="00680508" w:rsidP="000E184A">
            <w:pPr>
              <w:pStyle w:val="Para5"/>
              <w:tabs>
                <w:tab w:val="clear" w:pos="1134"/>
                <w:tab w:val="num" w:pos="592"/>
              </w:tabs>
              <w:ind w:left="592"/>
            </w:pPr>
            <w:r>
              <w:t xml:space="preserve">Mr M Nees, </w:t>
            </w:r>
            <w:r w:rsidR="00A55761">
              <w:t>horticultural consultant.</w:t>
            </w:r>
          </w:p>
        </w:tc>
      </w:tr>
      <w:tr w:rsidR="00FF3C19" w14:paraId="48F637DD" w14:textId="77777777" w:rsidTr="004F6E65">
        <w:trPr>
          <w:cantSplit/>
        </w:trPr>
        <w:tc>
          <w:tcPr>
            <w:tcW w:w="1533" w:type="pct"/>
            <w:hideMark/>
          </w:tcPr>
          <w:p w14:paraId="593CD6D5" w14:textId="6D4042CC" w:rsidR="00FF3C19" w:rsidRDefault="00FF3C19">
            <w:pPr>
              <w:pStyle w:val="TitlePagetext"/>
            </w:pPr>
            <w:r>
              <w:t xml:space="preserve">For </w:t>
            </w:r>
            <w:r w:rsidR="001E7ECE">
              <w:rPr>
                <w:noProof/>
              </w:rPr>
              <w:t>Monash</w:t>
            </w:r>
            <w:r>
              <w:rPr>
                <w:noProof/>
              </w:rPr>
              <w:t xml:space="preserve"> City Council [</w:t>
            </w:r>
            <w:r w:rsidRPr="00D071A9">
              <w:rPr>
                <w:b/>
                <w:bCs/>
                <w:noProof/>
              </w:rPr>
              <w:t>Council</w:t>
            </w:r>
            <w:r>
              <w:rPr>
                <w:noProof/>
              </w:rPr>
              <w:t>]</w:t>
            </w:r>
          </w:p>
        </w:tc>
        <w:tc>
          <w:tcPr>
            <w:tcW w:w="3467" w:type="pct"/>
            <w:hideMark/>
          </w:tcPr>
          <w:p w14:paraId="0E0AA204" w14:textId="1547A930" w:rsidR="00FF3C19" w:rsidRDefault="00C3012E">
            <w:pPr>
              <w:pStyle w:val="TitlePagetext"/>
            </w:pPr>
            <w:r>
              <w:t>Mr J Turner, Principal Planning – Appeals Advisor</w:t>
            </w:r>
            <w:r w:rsidR="00FF3C19">
              <w:t>.</w:t>
            </w:r>
          </w:p>
        </w:tc>
      </w:tr>
    </w:tbl>
    <w:p w14:paraId="279AB7F6" w14:textId="1551C17E" w:rsidR="00B5036B" w:rsidRPr="00D336A9" w:rsidRDefault="007C574A" w:rsidP="004F6E65">
      <w:pPr>
        <w:pStyle w:val="Heading1"/>
        <w:ind w:right="-284"/>
        <w:rPr>
          <w:highlight w:val="yellow"/>
        </w:rPr>
      </w:pPr>
      <w:r>
        <w:rPr>
          <w:noProof/>
        </w:rPr>
        <w:lastRenderedPageBreak/>
        <w:drawing>
          <wp:anchor distT="0" distB="0" distL="114300" distR="114300" simplePos="0" relativeHeight="251659264" behindDoc="1" locked="0" layoutInCell="1" allowOverlap="1" wp14:anchorId="7C78B638" wp14:editId="708119ED">
            <wp:simplePos x="0" y="0"/>
            <wp:positionH relativeFrom="column">
              <wp:posOffset>5183505</wp:posOffset>
            </wp:positionH>
            <wp:positionV relativeFrom="paragraph">
              <wp:posOffset>8459470</wp:posOffset>
            </wp:positionV>
            <wp:extent cx="1080000" cy="1080000"/>
            <wp:effectExtent l="0" t="0" r="6350" b="6350"/>
            <wp:wrapNone/>
            <wp:docPr id="3" name="VCAT Seal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036B" w:rsidRPr="00D336A9">
        <w:t>Information</w:t>
      </w:r>
    </w:p>
    <w:tbl>
      <w:tblPr>
        <w:tblW w:w="5250" w:type="pct"/>
        <w:tblLook w:val="0000" w:firstRow="0" w:lastRow="0" w:firstColumn="0" w:lastColumn="0" w:noHBand="0" w:noVBand="0"/>
      </w:tblPr>
      <w:tblGrid>
        <w:gridCol w:w="2676"/>
        <w:gridCol w:w="6254"/>
      </w:tblGrid>
      <w:tr w:rsidR="00AF509A" w:rsidRPr="00A55738" w14:paraId="2A35CEB6" w14:textId="77777777" w:rsidTr="004F6E65">
        <w:trPr>
          <w:cantSplit/>
        </w:trPr>
        <w:tc>
          <w:tcPr>
            <w:tcW w:w="1508" w:type="pct"/>
          </w:tcPr>
          <w:p w14:paraId="75903247" w14:textId="77777777" w:rsidR="00B5036B" w:rsidRPr="00A55738" w:rsidRDefault="00B5036B" w:rsidP="00FC78BD">
            <w:pPr>
              <w:pStyle w:val="TitlePagetext"/>
            </w:pPr>
            <w:r w:rsidRPr="00A55738">
              <w:t>Description of proposal</w:t>
            </w:r>
          </w:p>
        </w:tc>
        <w:tc>
          <w:tcPr>
            <w:tcW w:w="3492" w:type="pct"/>
          </w:tcPr>
          <w:p w14:paraId="05EE8375" w14:textId="75B33B29" w:rsidR="00B5036B" w:rsidRPr="00A55738" w:rsidRDefault="008B137B" w:rsidP="00B5036B">
            <w:pPr>
              <w:pStyle w:val="TitlePagetext"/>
            </w:pPr>
            <w:r>
              <w:t>Construction of two double storey side-by-side dwellings</w:t>
            </w:r>
            <w:r w:rsidR="00D66573">
              <w:t>.</w:t>
            </w:r>
            <w:r>
              <w:t xml:space="preserve"> Each dwelling is provided with a separate driveway and crossover. Two street trees are proposed to be retained and one is proposed to be removed.</w:t>
            </w:r>
          </w:p>
        </w:tc>
      </w:tr>
      <w:tr w:rsidR="00AF509A" w:rsidRPr="00A55738" w14:paraId="22F196F2" w14:textId="77777777" w:rsidTr="004F6E65">
        <w:trPr>
          <w:cantSplit/>
        </w:trPr>
        <w:tc>
          <w:tcPr>
            <w:tcW w:w="1508" w:type="pct"/>
          </w:tcPr>
          <w:p w14:paraId="6D47E039" w14:textId="77777777" w:rsidR="00B5036B" w:rsidRPr="00A55738" w:rsidRDefault="00B5036B" w:rsidP="00FC78BD">
            <w:pPr>
              <w:pStyle w:val="TitlePagetext"/>
            </w:pPr>
            <w:r w:rsidRPr="00A55738">
              <w:t>Nature of proceeding</w:t>
            </w:r>
          </w:p>
        </w:tc>
        <w:tc>
          <w:tcPr>
            <w:tcW w:w="3492" w:type="pct"/>
          </w:tcPr>
          <w:p w14:paraId="7971EF2D" w14:textId="2620C31E" w:rsidR="00B5036B" w:rsidRPr="00A55738" w:rsidRDefault="008B137B" w:rsidP="004C29A6">
            <w:pPr>
              <w:pStyle w:val="TitlePagetext"/>
            </w:pPr>
            <w:r>
              <w:t xml:space="preserve">Application under section 77 of the </w:t>
            </w:r>
            <w:r>
              <w:rPr>
                <w:i/>
              </w:rPr>
              <w:t>Planning and Environment Act 1987</w:t>
            </w:r>
            <w:r>
              <w:t xml:space="preserve"> – to review the refusal to grant a permit.</w:t>
            </w:r>
          </w:p>
        </w:tc>
      </w:tr>
      <w:tr w:rsidR="00AF509A" w:rsidRPr="00A55738" w14:paraId="2D8F33D8" w14:textId="77777777" w:rsidTr="004F6E65">
        <w:trPr>
          <w:cantSplit/>
        </w:trPr>
        <w:tc>
          <w:tcPr>
            <w:tcW w:w="1508" w:type="pct"/>
          </w:tcPr>
          <w:p w14:paraId="293896A9" w14:textId="77777777" w:rsidR="00B5036B" w:rsidRPr="00A55738" w:rsidRDefault="00B5036B" w:rsidP="00FC78BD">
            <w:pPr>
              <w:pStyle w:val="TitlePagetext"/>
            </w:pPr>
            <w:r w:rsidRPr="00A55738">
              <w:t>Planning scheme</w:t>
            </w:r>
          </w:p>
        </w:tc>
        <w:tc>
          <w:tcPr>
            <w:tcW w:w="3492" w:type="pct"/>
          </w:tcPr>
          <w:p w14:paraId="7AF89593" w14:textId="279B5C18" w:rsidR="00B5036B" w:rsidRPr="00A55738" w:rsidRDefault="001E7ECE" w:rsidP="00FC78BD">
            <w:pPr>
              <w:pStyle w:val="TitlePagetext"/>
            </w:pPr>
            <w:r>
              <w:rPr>
                <w:noProof/>
              </w:rPr>
              <w:t>Monash</w:t>
            </w:r>
            <w:r w:rsidR="00083B7B">
              <w:rPr>
                <w:noProof/>
              </w:rPr>
              <w:t xml:space="preserve"> </w:t>
            </w:r>
            <w:r w:rsidR="00B5036B" w:rsidRPr="00A55738">
              <w:t>Planning Scheme [</w:t>
            </w:r>
            <w:r w:rsidR="00B5036B" w:rsidRPr="00A55738">
              <w:rPr>
                <w:b/>
              </w:rPr>
              <w:t>scheme</w:t>
            </w:r>
            <w:r w:rsidR="00B5036B" w:rsidRPr="00A55738">
              <w:t>].</w:t>
            </w:r>
          </w:p>
        </w:tc>
      </w:tr>
      <w:tr w:rsidR="00AF509A" w:rsidRPr="00A55738" w14:paraId="39F553CB" w14:textId="77777777" w:rsidTr="004F6E65">
        <w:trPr>
          <w:cantSplit/>
        </w:trPr>
        <w:tc>
          <w:tcPr>
            <w:tcW w:w="1508" w:type="pct"/>
          </w:tcPr>
          <w:p w14:paraId="69C4C0A7" w14:textId="77777777" w:rsidR="00B5036B" w:rsidRPr="00A55738" w:rsidRDefault="00B5036B" w:rsidP="00FC78BD">
            <w:pPr>
              <w:pStyle w:val="TitlePagetext"/>
            </w:pPr>
            <w:r w:rsidRPr="00A55738">
              <w:t>Zone and overlays</w:t>
            </w:r>
          </w:p>
        </w:tc>
        <w:tc>
          <w:tcPr>
            <w:tcW w:w="3492" w:type="pct"/>
          </w:tcPr>
          <w:p w14:paraId="04E82286" w14:textId="58CD3AC2" w:rsidR="00981E5F" w:rsidRDefault="00E34ACB" w:rsidP="00981E5F">
            <w:pPr>
              <w:pStyle w:val="TitlePagetext"/>
            </w:pPr>
            <w:r>
              <w:t xml:space="preserve">General </w:t>
            </w:r>
            <w:r w:rsidR="00036F88">
              <w:t xml:space="preserve">Residential </w:t>
            </w:r>
            <w:r w:rsidR="00F84A3D">
              <w:t xml:space="preserve">Zone, </w:t>
            </w:r>
            <w:r w:rsidR="007E49AC">
              <w:t>Schedule 3</w:t>
            </w:r>
            <w:r w:rsidR="00E444C0">
              <w:t xml:space="preserve"> </w:t>
            </w:r>
            <w:r w:rsidR="00981E5F">
              <w:t>[</w:t>
            </w:r>
            <w:r w:rsidRPr="00E34ACB">
              <w:rPr>
                <w:b/>
                <w:bCs/>
              </w:rPr>
              <w:t>GR</w:t>
            </w:r>
            <w:r w:rsidR="00981E5F" w:rsidRPr="00E34ACB">
              <w:rPr>
                <w:b/>
                <w:bCs/>
              </w:rPr>
              <w:t>Z3</w:t>
            </w:r>
            <w:r w:rsidR="00981E5F">
              <w:t xml:space="preserve">] </w:t>
            </w:r>
            <w:r w:rsidR="00E444C0">
              <w:t>(shown below</w:t>
            </w:r>
            <w:r w:rsidR="00E444C0">
              <w:rPr>
                <w:rStyle w:val="FootnoteReference"/>
              </w:rPr>
              <w:footnoteReference w:id="1"/>
            </w:r>
            <w:r w:rsidR="00E444C0">
              <w:t xml:space="preserve">) </w:t>
            </w:r>
            <w:r w:rsidR="00AF509A">
              <w:t>Garden City Suburbs</w:t>
            </w:r>
            <w:r w:rsidR="00981E5F">
              <w:t>.</w:t>
            </w:r>
          </w:p>
          <w:p w14:paraId="2A7086EF" w14:textId="2A786995" w:rsidR="009F6F4D" w:rsidRPr="00A55738" w:rsidRDefault="00AF509A" w:rsidP="00AF509A">
            <w:pPr>
              <w:pStyle w:val="TitlePagetext"/>
              <w:jc w:val="center"/>
            </w:pPr>
            <w:r>
              <w:rPr>
                <w:noProof/>
              </w:rPr>
              <w:drawing>
                <wp:inline distT="0" distB="0" distL="0" distR="0" wp14:anchorId="68775524" wp14:editId="036333B3">
                  <wp:extent cx="3834634" cy="173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8736" cy="1805284"/>
                          </a:xfrm>
                          <a:prstGeom prst="rect">
                            <a:avLst/>
                          </a:prstGeom>
                        </pic:spPr>
                      </pic:pic>
                    </a:graphicData>
                  </a:graphic>
                </wp:inline>
              </w:drawing>
            </w:r>
          </w:p>
        </w:tc>
      </w:tr>
      <w:tr w:rsidR="00AF509A" w:rsidRPr="00A55738" w14:paraId="53B76894" w14:textId="77777777" w:rsidTr="004F6E65">
        <w:trPr>
          <w:cantSplit/>
        </w:trPr>
        <w:tc>
          <w:tcPr>
            <w:tcW w:w="1508" w:type="pct"/>
          </w:tcPr>
          <w:p w14:paraId="139C6BD7" w14:textId="77777777" w:rsidR="00B5036B" w:rsidRPr="00A55738" w:rsidRDefault="00B5036B" w:rsidP="00FC78BD">
            <w:pPr>
              <w:pStyle w:val="TitlePagetext"/>
            </w:pPr>
            <w:r w:rsidRPr="00A55738">
              <w:t>Permit requirements</w:t>
            </w:r>
          </w:p>
        </w:tc>
        <w:tc>
          <w:tcPr>
            <w:tcW w:w="3492" w:type="pct"/>
          </w:tcPr>
          <w:p w14:paraId="5AFA69BD" w14:textId="588C9FA4" w:rsidR="0050240C" w:rsidRPr="00A55738" w:rsidRDefault="00036F88" w:rsidP="00C4569F">
            <w:pPr>
              <w:pStyle w:val="TitlePagetext"/>
            </w:pPr>
            <w:r>
              <w:t>Clause 32.0</w:t>
            </w:r>
            <w:r w:rsidR="00E34ACB">
              <w:t>8</w:t>
            </w:r>
            <w:r w:rsidR="004035A0">
              <w:t>-6</w:t>
            </w:r>
            <w:r>
              <w:t xml:space="preserve"> </w:t>
            </w:r>
            <w:r w:rsidR="00A32120">
              <w:t>-</w:t>
            </w:r>
            <w:r>
              <w:t xml:space="preserve"> to construct two or more dwellings on a lot</w:t>
            </w:r>
            <w:r w:rsidR="00383357">
              <w:t>.</w:t>
            </w:r>
            <w:r>
              <w:t xml:space="preserve">  </w:t>
            </w:r>
            <w:r w:rsidR="00E34ACB">
              <w:t>GRZ3</w:t>
            </w:r>
            <w:r>
              <w:t xml:space="preserve"> varies clause 55 </w:t>
            </w:r>
            <w:r w:rsidR="00981E5F">
              <w:t xml:space="preserve">Standards </w:t>
            </w:r>
            <w:r w:rsidR="0075070F" w:rsidRPr="00A94CAD">
              <w:t>B6, B13, B17, B28 and B32</w:t>
            </w:r>
            <w:r w:rsidR="00F84A3D" w:rsidRPr="00A94CAD">
              <w:t>.</w:t>
            </w:r>
          </w:p>
        </w:tc>
      </w:tr>
      <w:tr w:rsidR="00AF509A" w:rsidRPr="00A55738" w14:paraId="54BE518D" w14:textId="77777777" w:rsidTr="004F6E65">
        <w:trPr>
          <w:cantSplit/>
        </w:trPr>
        <w:tc>
          <w:tcPr>
            <w:tcW w:w="1508" w:type="pct"/>
          </w:tcPr>
          <w:p w14:paraId="3E33C557" w14:textId="77777777" w:rsidR="00B5036B" w:rsidRPr="00A55738" w:rsidRDefault="00B5036B" w:rsidP="00FC78BD">
            <w:pPr>
              <w:pStyle w:val="TitlePagetext"/>
            </w:pPr>
            <w:r w:rsidRPr="00A55738">
              <w:t>Relevant scheme policies and provisions</w:t>
            </w:r>
          </w:p>
        </w:tc>
        <w:tc>
          <w:tcPr>
            <w:tcW w:w="3492" w:type="pct"/>
          </w:tcPr>
          <w:p w14:paraId="632670B2" w14:textId="635CA328" w:rsidR="00B5036B" w:rsidRPr="00A55738" w:rsidRDefault="00B5036B" w:rsidP="00FC78BD">
            <w:pPr>
              <w:pStyle w:val="TitlePagetext"/>
            </w:pPr>
            <w:r w:rsidRPr="00A55738">
              <w:t xml:space="preserve">Clauses 11, 15, 16, 21, </w:t>
            </w:r>
            <w:r w:rsidR="00036F88">
              <w:t>22.01</w:t>
            </w:r>
            <w:r w:rsidR="00383357">
              <w:t xml:space="preserve">, </w:t>
            </w:r>
            <w:r>
              <w:t>22.</w:t>
            </w:r>
            <w:r w:rsidR="00383357">
              <w:t>05, 32.</w:t>
            </w:r>
            <w:r w:rsidR="00E34ACB">
              <w:t>08</w:t>
            </w:r>
            <w:r w:rsidR="00383357">
              <w:t xml:space="preserve">, </w:t>
            </w:r>
            <w:r w:rsidR="005F657C">
              <w:t>52.06, 55</w:t>
            </w:r>
            <w:r w:rsidRPr="00A55738">
              <w:t>, 65 and 71.</w:t>
            </w:r>
          </w:p>
        </w:tc>
      </w:tr>
      <w:tr w:rsidR="00AF509A" w:rsidRPr="00A55738" w14:paraId="66605F86" w14:textId="77777777" w:rsidTr="004F6E65">
        <w:trPr>
          <w:cantSplit/>
        </w:trPr>
        <w:tc>
          <w:tcPr>
            <w:tcW w:w="1508" w:type="pct"/>
          </w:tcPr>
          <w:p w14:paraId="244B75DA" w14:textId="77777777" w:rsidR="00B5036B" w:rsidRPr="00A55738" w:rsidRDefault="00B5036B" w:rsidP="00FC78BD">
            <w:pPr>
              <w:pStyle w:val="TitlePagetext"/>
            </w:pPr>
            <w:r>
              <w:t>Subject l</w:t>
            </w:r>
            <w:r w:rsidRPr="00A55738">
              <w:t>and description</w:t>
            </w:r>
          </w:p>
        </w:tc>
        <w:tc>
          <w:tcPr>
            <w:tcW w:w="3492" w:type="pct"/>
          </w:tcPr>
          <w:p w14:paraId="69E91D52" w14:textId="3CD86A18" w:rsidR="004035A0" w:rsidRDefault="00B5036B" w:rsidP="005F657C">
            <w:pPr>
              <w:pStyle w:val="TitlePagetext"/>
            </w:pPr>
            <w:r w:rsidRPr="00A55738">
              <w:t xml:space="preserve">The </w:t>
            </w:r>
            <w:r>
              <w:t xml:space="preserve">subject </w:t>
            </w:r>
            <w:r w:rsidRPr="00A55738">
              <w:t xml:space="preserve">land </w:t>
            </w:r>
            <w:r>
              <w:t xml:space="preserve">is </w:t>
            </w:r>
            <w:r w:rsidR="00AB5535">
              <w:t xml:space="preserve">on the </w:t>
            </w:r>
            <w:r w:rsidR="00A55761">
              <w:t>south-</w:t>
            </w:r>
            <w:r w:rsidR="00A94CAD">
              <w:t>east</w:t>
            </w:r>
            <w:r w:rsidR="00AB5535">
              <w:t xml:space="preserve"> side of </w:t>
            </w:r>
            <w:r w:rsidR="00A94CAD">
              <w:t>Moorong Street</w:t>
            </w:r>
            <w:r w:rsidR="005F657C">
              <w:t xml:space="preserve"> and is </w:t>
            </w:r>
            <w:r w:rsidR="00A55761">
              <w:t>636m</w:t>
            </w:r>
            <w:r w:rsidR="00A55761" w:rsidRPr="00A55761">
              <w:rPr>
                <w:vertAlign w:val="superscript"/>
              </w:rPr>
              <w:t>2</w:t>
            </w:r>
            <w:r w:rsidR="005F657C">
              <w:t xml:space="preserve"> in area</w:t>
            </w:r>
            <w:r w:rsidR="00196C6F">
              <w:t>.</w:t>
            </w:r>
            <w:r w:rsidR="00835BA7">
              <w:t xml:space="preserve">  It is 18.29 metres wide along the street frontage</w:t>
            </w:r>
            <w:r w:rsidR="004035A0">
              <w:t xml:space="preserve"> and narrows toward the rear.  Moorong Street falls toward Power Avenue.</w:t>
            </w:r>
          </w:p>
          <w:p w14:paraId="181F5DAA" w14:textId="77777777" w:rsidR="004035A0" w:rsidRDefault="00835BA7" w:rsidP="005F657C">
            <w:pPr>
              <w:pStyle w:val="TitlePagetext"/>
            </w:pPr>
            <w:r>
              <w:t>Adjacent sites to the north-east and south-west are developed with units.  Both have driveways abutting the subject land</w:t>
            </w:r>
            <w:r w:rsidR="00036F88">
              <w:t>.</w:t>
            </w:r>
            <w:r w:rsidR="004035A0">
              <w:t xml:space="preserve"> </w:t>
            </w:r>
          </w:p>
          <w:p w14:paraId="58FC694C" w14:textId="42B9B2F4" w:rsidR="00106769" w:rsidRPr="00A55738" w:rsidRDefault="004035A0" w:rsidP="005F657C">
            <w:pPr>
              <w:pStyle w:val="TitlePagetext"/>
            </w:pPr>
            <w:r>
              <w:t>There is an evident pattern of the original dwelling stock in the area being replaced with multi-unit developments.</w:t>
            </w:r>
            <w:r w:rsidR="00A55761">
              <w:t xml:space="preserve">  Multi-unit developments </w:t>
            </w:r>
            <w:r w:rsidR="000E184A">
              <w:t>abut</w:t>
            </w:r>
            <w:r w:rsidR="00A55761">
              <w:t xml:space="preserve"> all three boundaries of the subject land</w:t>
            </w:r>
            <w:r w:rsidR="00FB472A">
              <w:t>.  A</w:t>
            </w:r>
            <w:r w:rsidR="00A55761">
              <w:t xml:space="preserve">ll </w:t>
            </w:r>
            <w:r w:rsidR="00FB472A">
              <w:t>adopt</w:t>
            </w:r>
            <w:r w:rsidR="00A55761">
              <w:t xml:space="preserve"> a tandem </w:t>
            </w:r>
            <w:r w:rsidR="00FB472A">
              <w:t>layout</w:t>
            </w:r>
            <w:r w:rsidR="00A55761">
              <w:t>.</w:t>
            </w:r>
          </w:p>
        </w:tc>
      </w:tr>
      <w:tr w:rsidR="00AF509A" w:rsidRPr="00A55738" w14:paraId="76785C1C" w14:textId="77777777" w:rsidTr="004F6E65">
        <w:trPr>
          <w:cantSplit/>
        </w:trPr>
        <w:tc>
          <w:tcPr>
            <w:tcW w:w="1508" w:type="pct"/>
          </w:tcPr>
          <w:p w14:paraId="4E48022D" w14:textId="1258F641" w:rsidR="0078760C" w:rsidRDefault="0078760C" w:rsidP="00FC78BD">
            <w:pPr>
              <w:pStyle w:val="TitlePagetext"/>
            </w:pPr>
            <w:r>
              <w:t xml:space="preserve">Tribunal inspection </w:t>
            </w:r>
          </w:p>
        </w:tc>
        <w:tc>
          <w:tcPr>
            <w:tcW w:w="3492" w:type="pct"/>
          </w:tcPr>
          <w:p w14:paraId="3B88497F" w14:textId="3B68FDD6" w:rsidR="0078760C" w:rsidRPr="00A55738" w:rsidRDefault="006656AD" w:rsidP="005F657C">
            <w:pPr>
              <w:pStyle w:val="TitlePagetext"/>
            </w:pPr>
            <w:r>
              <w:t>17 June</w:t>
            </w:r>
            <w:r w:rsidR="00D66573">
              <w:t xml:space="preserve"> 2020 (unaccompanied)</w:t>
            </w:r>
            <w:r>
              <w:t xml:space="preserve"> as parties were advised at the start of the hearing</w:t>
            </w:r>
            <w:r w:rsidR="00D66573">
              <w:t>.</w:t>
            </w:r>
          </w:p>
        </w:tc>
      </w:tr>
    </w:tbl>
    <w:p w14:paraId="0D82CA7D" w14:textId="77777777" w:rsidR="009F6F4D" w:rsidRDefault="009F6F4D">
      <w:pPr>
        <w:rPr>
          <w:rFonts w:ascii="Arial" w:hAnsi="Arial"/>
          <w:b/>
          <w:bCs/>
          <w:caps/>
          <w:sz w:val="24"/>
          <w:szCs w:val="24"/>
        </w:rPr>
      </w:pPr>
      <w:r>
        <w:br w:type="page"/>
      </w:r>
    </w:p>
    <w:p w14:paraId="654CC61D" w14:textId="7944C62F" w:rsidR="00345370" w:rsidRPr="00106769" w:rsidRDefault="007C574A" w:rsidP="00106769">
      <w:pPr>
        <w:pStyle w:val="Heading1"/>
      </w:pPr>
      <w:r>
        <w:rPr>
          <w:noProof/>
        </w:rPr>
        <w:lastRenderedPageBreak/>
        <w:drawing>
          <wp:anchor distT="0" distB="0" distL="114300" distR="114300" simplePos="0" relativeHeight="251660288" behindDoc="1" locked="0" layoutInCell="1" allowOverlap="1" wp14:anchorId="5E73F95A" wp14:editId="62AF9471">
            <wp:simplePos x="0" y="0"/>
            <wp:positionH relativeFrom="column">
              <wp:posOffset>5183505</wp:posOffset>
            </wp:positionH>
            <wp:positionV relativeFrom="paragraph">
              <wp:posOffset>8459470</wp:posOffset>
            </wp:positionV>
            <wp:extent cx="1080000" cy="1080000"/>
            <wp:effectExtent l="0" t="0" r="6350" b="6350"/>
            <wp:wrapNone/>
            <wp:docPr id="4" name="VCAT Seal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45370" w:rsidRPr="00106769">
        <w:t>REASONS</w:t>
      </w:r>
      <w:r w:rsidR="00FB6A9F" w:rsidRPr="00106769">
        <w:rPr>
          <w:rStyle w:val="FootnoteReference"/>
        </w:rPr>
        <w:footnoteReference w:id="2"/>
      </w:r>
    </w:p>
    <w:p w14:paraId="6A20B375" w14:textId="625DE0D2" w:rsidR="005B05DF" w:rsidRDefault="005F657C" w:rsidP="00920525">
      <w:pPr>
        <w:pStyle w:val="Heading2"/>
        <w:spacing w:before="120"/>
      </w:pPr>
      <w:r>
        <w:t>INTRODUCTION</w:t>
      </w:r>
    </w:p>
    <w:p w14:paraId="09861531" w14:textId="77777777" w:rsidR="00FD330C" w:rsidRDefault="00A55761" w:rsidP="00FC78BD">
      <w:pPr>
        <w:pStyle w:val="Para1"/>
      </w:pPr>
      <w:r>
        <w:rPr>
          <w:noProof/>
        </w:rPr>
        <w:t>Asim Ahmed, Faiza Ahmed, Mario Highmoor &amp; Preeti Highmoor</w:t>
      </w:r>
      <w:r>
        <w:t xml:space="preserve"> [</w:t>
      </w:r>
      <w:r w:rsidRPr="00A55761">
        <w:rPr>
          <w:b/>
          <w:bCs/>
        </w:rPr>
        <w:t>applicants</w:t>
      </w:r>
      <w:r>
        <w:t xml:space="preserve">] </w:t>
      </w:r>
      <w:r w:rsidR="00C35351">
        <w:t xml:space="preserve">applied to the Monash City Council </w:t>
      </w:r>
      <w:r w:rsidR="00AF509A">
        <w:t>[</w:t>
      </w:r>
      <w:r w:rsidR="00AF509A" w:rsidRPr="00AF509A">
        <w:rPr>
          <w:b/>
          <w:bCs/>
        </w:rPr>
        <w:t>Council</w:t>
      </w:r>
      <w:r w:rsidR="00AF509A">
        <w:t xml:space="preserve">] </w:t>
      </w:r>
      <w:r w:rsidR="00C35351">
        <w:t xml:space="preserve">to </w:t>
      </w:r>
      <w:r w:rsidR="004C29A6">
        <w:t xml:space="preserve">construct </w:t>
      </w:r>
      <w:r w:rsidR="00AF509A">
        <w:t>two</w:t>
      </w:r>
      <w:r w:rsidR="004C29A6">
        <w:t xml:space="preserve"> dwellings on the subject land.  </w:t>
      </w:r>
    </w:p>
    <w:p w14:paraId="36C2FDA7" w14:textId="6A9EE989" w:rsidR="005F657C" w:rsidRDefault="004C29A6" w:rsidP="00FC78BD">
      <w:pPr>
        <w:pStyle w:val="Para1"/>
      </w:pPr>
      <w:r>
        <w:t xml:space="preserve">As the Council </w:t>
      </w:r>
      <w:r w:rsidR="00AF509A">
        <w:t>refused</w:t>
      </w:r>
      <w:r>
        <w:t xml:space="preserve"> to grant a permit, </w:t>
      </w:r>
      <w:r w:rsidR="00196DCC">
        <w:t>the permit applicant</w:t>
      </w:r>
      <w:r w:rsidR="00FD330C">
        <w:t>s</w:t>
      </w:r>
      <w:r w:rsidR="00196DCC">
        <w:t xml:space="preserve"> </w:t>
      </w:r>
      <w:r w:rsidR="00FD330C">
        <w:t>have</w:t>
      </w:r>
      <w:r w:rsidR="00196DCC">
        <w:t xml:space="preserve"> asked the Tribunal to </w:t>
      </w:r>
      <w:r w:rsidR="00A94CAD">
        <w:t>review that decision</w:t>
      </w:r>
      <w:r w:rsidR="00196DCC">
        <w:t>.</w:t>
      </w:r>
    </w:p>
    <w:p w14:paraId="720183F3" w14:textId="77777777" w:rsidR="005004E4" w:rsidRDefault="005004E4" w:rsidP="005004E4">
      <w:pPr>
        <w:pStyle w:val="Para1"/>
      </w:pPr>
      <w:r>
        <w:t>The Council’s position is that the permit application should be refused because:</w:t>
      </w:r>
    </w:p>
    <w:p w14:paraId="70BB8414" w14:textId="77777777" w:rsidR="005004E4" w:rsidRDefault="005004E4" w:rsidP="005004E4">
      <w:pPr>
        <w:pStyle w:val="Para5"/>
      </w:pPr>
      <w:r>
        <w:t>the layout of the development in a side-by-side configuration is not sympathetic to the character of the area; and</w:t>
      </w:r>
    </w:p>
    <w:p w14:paraId="19735251" w14:textId="1C0F856D" w:rsidR="005004E4" w:rsidRDefault="005004E4" w:rsidP="005004E4">
      <w:pPr>
        <w:pStyle w:val="Para5"/>
      </w:pPr>
      <w:r>
        <w:t xml:space="preserve">the side-by-side layout requires a second crossover </w:t>
      </w:r>
      <w:r w:rsidR="00FB472A">
        <w:t>that</w:t>
      </w:r>
      <w:r>
        <w:t xml:space="preserve"> will result in the loss of a street tree which has a significant presence in the streetscape. </w:t>
      </w:r>
    </w:p>
    <w:p w14:paraId="3A065573" w14:textId="0151E2A5" w:rsidR="000F5F88" w:rsidRDefault="00196DCC" w:rsidP="00FC78BD">
      <w:pPr>
        <w:pStyle w:val="Para1"/>
      </w:pPr>
      <w:r>
        <w:t>The applicant</w:t>
      </w:r>
      <w:r w:rsidR="00FB472A">
        <w:t>s</w:t>
      </w:r>
      <w:r>
        <w:t xml:space="preserve"> submit the </w:t>
      </w:r>
      <w:r w:rsidR="00FD330C">
        <w:t>proposal warrants approval having regard to all of the relevant considerations</w:t>
      </w:r>
      <w:r>
        <w:t>.</w:t>
      </w:r>
      <w:r w:rsidR="00165B27">
        <w:t xml:space="preserve">  </w:t>
      </w:r>
      <w:r w:rsidR="00C31D56">
        <w:t>They say</w:t>
      </w:r>
      <w:r w:rsidR="006B4136">
        <w:t xml:space="preserve"> that there is ample support in policy and the nearby context for the development typology adopted in this design response. </w:t>
      </w:r>
      <w:r w:rsidR="00C31D56">
        <w:t>Mr Mackenzie submits that r</w:t>
      </w:r>
      <w:r w:rsidR="006B4136">
        <w:t xml:space="preserve">emoval of the street tree is sought </w:t>
      </w:r>
      <w:r w:rsidR="00C31D56">
        <w:t xml:space="preserve">to facilitate a second driveway.  Two other street trees will be retained.  In addition, </w:t>
      </w:r>
      <w:r w:rsidR="006B4136">
        <w:t xml:space="preserve">new front yard trees and </w:t>
      </w:r>
      <w:r w:rsidR="000E184A">
        <w:t xml:space="preserve">a </w:t>
      </w:r>
      <w:r w:rsidR="006B4136">
        <w:t>replacement street tree</w:t>
      </w:r>
      <w:r w:rsidR="00C31D56">
        <w:t xml:space="preserve"> will be planted</w:t>
      </w:r>
      <w:r w:rsidR="006B4136">
        <w:t>.  In the applicants</w:t>
      </w:r>
      <w:r w:rsidR="00FB472A">
        <w:t>’</w:t>
      </w:r>
      <w:r w:rsidR="006B4136">
        <w:t xml:space="preserve"> submission this is supportable when all relevant factors are considered and balanced. The outcome presented in this permit application is acceptable, in the applicants</w:t>
      </w:r>
      <w:r w:rsidR="00FB472A">
        <w:t>’</w:t>
      </w:r>
      <w:r w:rsidR="006B4136">
        <w:t xml:space="preserve"> submission, even though it departs from aspects of policy preferring retention of the street tree and a single crossing and driveway </w:t>
      </w:r>
      <w:r w:rsidR="000E184A">
        <w:t xml:space="preserve">on </w:t>
      </w:r>
      <w:r w:rsidR="006B4136">
        <w:t>the site.</w:t>
      </w:r>
    </w:p>
    <w:p w14:paraId="32531DB7" w14:textId="20B92ABF" w:rsidR="00F61C67" w:rsidRPr="00A94CAD" w:rsidRDefault="00DF4D3A" w:rsidP="00FC78BD">
      <w:pPr>
        <w:pStyle w:val="Para1"/>
      </w:pPr>
      <w:r w:rsidRPr="00CD12D4">
        <w:rPr>
          <w:color w:val="000000"/>
        </w:rPr>
        <w:t>I must decide whether the proposal will produce an acceptable outcome having regard to the relevant policies and provisions in the scheme.  Clause 71.02-3 requires the decision-maker to integrate the range of policies</w:t>
      </w:r>
      <w:r w:rsidRPr="00EE7575">
        <w:rPr>
          <w:color w:val="000000"/>
        </w:rPr>
        <w:t xml:space="preserve"> relevant to the issues to be determined and balance conflicting objectives in favour of net community benefit and sustainable development</w:t>
      </w:r>
      <w:r>
        <w:rPr>
          <w:color w:val="000000"/>
        </w:rPr>
        <w:t>.</w:t>
      </w:r>
    </w:p>
    <w:p w14:paraId="76473781" w14:textId="4556B657" w:rsidR="00FD1E2C" w:rsidRDefault="00FD1E2C" w:rsidP="005F657C">
      <w:pPr>
        <w:pStyle w:val="Heading2"/>
      </w:pPr>
      <w:r>
        <w:t xml:space="preserve">strategic </w:t>
      </w:r>
      <w:r w:rsidR="006B4136">
        <w:t>CONTEXT</w:t>
      </w:r>
    </w:p>
    <w:p w14:paraId="57BCD083" w14:textId="77777777" w:rsidR="00253C26" w:rsidRDefault="00BD2CCD" w:rsidP="00346625">
      <w:pPr>
        <w:pStyle w:val="Para1"/>
      </w:pPr>
      <w:r>
        <w:t xml:space="preserve">The strategic context that </w:t>
      </w:r>
      <w:r w:rsidR="006B4136">
        <w:t>is</w:t>
      </w:r>
      <w:r>
        <w:t xml:space="preserve"> relevant to the assessment of this permit application </w:t>
      </w:r>
      <w:r w:rsidR="00253C26">
        <w:t>is</w:t>
      </w:r>
      <w:r>
        <w:t xml:space="preserve"> </w:t>
      </w:r>
      <w:r w:rsidR="00F84A3D">
        <w:t>summarised below.</w:t>
      </w:r>
      <w:r w:rsidR="00A94CAD">
        <w:t xml:space="preserve">  </w:t>
      </w:r>
      <w:r w:rsidR="006B4136">
        <w:t>This is</w:t>
      </w:r>
      <w:r w:rsidR="00A94CAD">
        <w:t xml:space="preserve"> not, </w:t>
      </w:r>
      <w:r w:rsidR="00A94CAD" w:rsidRPr="00A94CAD">
        <w:rPr>
          <w:i/>
          <w:iCs/>
        </w:rPr>
        <w:t>per se</w:t>
      </w:r>
      <w:r w:rsidR="00A94CAD">
        <w:t>, contentious</w:t>
      </w:r>
      <w:r w:rsidR="00253C26">
        <w:t>.</w:t>
      </w:r>
    </w:p>
    <w:p w14:paraId="7DC88CE1" w14:textId="56EFB980" w:rsidR="006B4136" w:rsidRDefault="00253C26" w:rsidP="00346625">
      <w:pPr>
        <w:pStyle w:val="Para1"/>
      </w:pPr>
      <w:r>
        <w:t>T</w:t>
      </w:r>
      <w:r w:rsidR="00A94CAD">
        <w:t xml:space="preserve">he principle of developing the land with two dwellings is not </w:t>
      </w:r>
      <w:r w:rsidR="00C31D56">
        <w:t>in</w:t>
      </w:r>
      <w:r w:rsidR="00A94CAD">
        <w:t xml:space="preserve"> issue.  </w:t>
      </w:r>
    </w:p>
    <w:p w14:paraId="08FEE9E3" w14:textId="7A327BE9" w:rsidR="00F84A3D" w:rsidRDefault="00A94CAD" w:rsidP="00346625">
      <w:pPr>
        <w:pStyle w:val="Para1"/>
      </w:pPr>
      <w:r>
        <w:t xml:space="preserve">The key issues are the </w:t>
      </w:r>
      <w:r w:rsidR="00094832">
        <w:t xml:space="preserve">adoption of a side-by-side design response with </w:t>
      </w:r>
      <w:r>
        <w:t>removal of a street tree and proposed boundary development.</w:t>
      </w:r>
    </w:p>
    <w:p w14:paraId="28291A4A" w14:textId="6E087C5C" w:rsidR="008E6B95" w:rsidRDefault="00725553" w:rsidP="00F1406D">
      <w:pPr>
        <w:pStyle w:val="Para1"/>
      </w:pPr>
      <w:r>
        <w:t xml:space="preserve">The subject land and surrounding area is </w:t>
      </w:r>
      <w:r w:rsidR="00CB01F7" w:rsidRPr="00E275AF">
        <w:t xml:space="preserve">within </w:t>
      </w:r>
      <w:r w:rsidR="00A94CAD">
        <w:t>GRZ3</w:t>
      </w:r>
      <w:r w:rsidR="008E6B95">
        <w:t>.  It is within an area identified as part of the Garden City Suburbs</w:t>
      </w:r>
      <w:r w:rsidR="008E6B95">
        <w:rPr>
          <w:rStyle w:val="FootnoteReference"/>
        </w:rPr>
        <w:footnoteReference w:id="3"/>
      </w:r>
      <w:r w:rsidR="008E6B95">
        <w:t xml:space="preserve"> and incremental change.  There is a strong policy emphasis on retention of neighbourhood character </w:t>
      </w:r>
      <w:r w:rsidR="007C574A">
        <w:rPr>
          <w:noProof/>
        </w:rPr>
        <w:lastRenderedPageBreak/>
        <w:drawing>
          <wp:anchor distT="0" distB="0" distL="114300" distR="114300" simplePos="0" relativeHeight="251661312" behindDoc="1" locked="0" layoutInCell="1" allowOverlap="1" wp14:anchorId="5697D70C" wp14:editId="5DA8D4F5">
            <wp:simplePos x="0" y="0"/>
            <wp:positionH relativeFrom="column">
              <wp:posOffset>5183505</wp:posOffset>
            </wp:positionH>
            <wp:positionV relativeFrom="paragraph">
              <wp:posOffset>8459470</wp:posOffset>
            </wp:positionV>
            <wp:extent cx="1080000" cy="1080000"/>
            <wp:effectExtent l="0" t="0" r="6350" b="6350"/>
            <wp:wrapNone/>
            <wp:docPr id="5" name="VCAT Seal4"/>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E6B95">
        <w:t xml:space="preserve">enhancement of Garden City character.  </w:t>
      </w:r>
      <w:r w:rsidR="005432C8">
        <w:t>GRZ3</w:t>
      </w:r>
      <w:r w:rsidR="008E6B95">
        <w:t xml:space="preserve"> is applied to achieve </w:t>
      </w:r>
      <w:r w:rsidR="000E184A">
        <w:t xml:space="preserve">the </w:t>
      </w:r>
      <w:r w:rsidR="008E6B95">
        <w:t xml:space="preserve">preferred development outcomes. The neighbourhood </w:t>
      </w:r>
      <w:r w:rsidR="005432C8">
        <w:t>character objectives</w:t>
      </w:r>
      <w:r w:rsidR="008E6B95">
        <w:t xml:space="preserve"> in GRZ3 are:</w:t>
      </w:r>
    </w:p>
    <w:p w14:paraId="7E4BB5E0" w14:textId="77777777" w:rsidR="008E6B95" w:rsidRDefault="005432C8" w:rsidP="008E6B95">
      <w:pPr>
        <w:pStyle w:val="Quote3"/>
      </w:pPr>
      <w:r>
        <w:t xml:space="preserve">To support new development that contributes to the preferred garden city character through well landscaped and spacious gardens that include canopy trees. </w:t>
      </w:r>
    </w:p>
    <w:p w14:paraId="7E917EE7" w14:textId="77777777" w:rsidR="008E6B95" w:rsidRDefault="005432C8" w:rsidP="008E6B95">
      <w:pPr>
        <w:pStyle w:val="Quote3"/>
      </w:pPr>
      <w:r>
        <w:t xml:space="preserve">To promote the preferred garden city character by minimising hard paving throughout the site by limiting the length and width of accessways and limiting paving within open space areas. </w:t>
      </w:r>
    </w:p>
    <w:p w14:paraId="5B279302" w14:textId="77777777" w:rsidR="008E6B95" w:rsidRDefault="005432C8" w:rsidP="008E6B95">
      <w:pPr>
        <w:pStyle w:val="Quote3"/>
      </w:pPr>
      <w:r>
        <w:t xml:space="preserve">To support new development that minimises building mass and visual bulk in the streetscape through generous front and side setbacks, landscaping in the front setback and breaks and recesses in the built form. </w:t>
      </w:r>
    </w:p>
    <w:p w14:paraId="7F6340E9" w14:textId="2EBE71FC" w:rsidR="005432C8" w:rsidRDefault="005432C8" w:rsidP="008E6B95">
      <w:pPr>
        <w:pStyle w:val="Quote3"/>
      </w:pPr>
      <w:r>
        <w:t>To support new development that locates garages and carports behind the front walls of buildings.</w:t>
      </w:r>
    </w:p>
    <w:p w14:paraId="35397B41" w14:textId="0E4EEF64" w:rsidR="00C10662" w:rsidRDefault="00C10662" w:rsidP="00E275AF">
      <w:pPr>
        <w:pStyle w:val="Para1"/>
      </w:pPr>
      <w:r>
        <w:rPr>
          <w:rFonts w:ascii="Calibri" w:eastAsia="Calibri" w:hAnsi="Calibri" w:cs="Calibri"/>
          <w:sz w:val="22"/>
        </w:rPr>
        <w:tab/>
      </w:r>
      <w:r>
        <w:t xml:space="preserve">The decision guidelines </w:t>
      </w:r>
      <w:r w:rsidR="008E6B95">
        <w:t xml:space="preserve">at clause 7.0 of GRZ3 </w:t>
      </w:r>
      <w:r>
        <w:t xml:space="preserve">include:  </w:t>
      </w:r>
    </w:p>
    <w:p w14:paraId="5D00E224" w14:textId="77777777" w:rsidR="005432C8" w:rsidRDefault="00313D2B" w:rsidP="006400A9">
      <w:pPr>
        <w:pStyle w:val="Quote3"/>
      </w:pPr>
      <w:r>
        <w:t xml:space="preserve">Whether the development provides an appropriate transition to built form on adjoining sites. </w:t>
      </w:r>
    </w:p>
    <w:p w14:paraId="7233AE29" w14:textId="77777777" w:rsidR="005432C8" w:rsidRDefault="00313D2B" w:rsidP="006400A9">
      <w:pPr>
        <w:pStyle w:val="Quote3"/>
      </w:pPr>
      <w:r>
        <w:t xml:space="preserve">The robustness of proposed materials and finishes. </w:t>
      </w:r>
    </w:p>
    <w:p w14:paraId="0FF1274D" w14:textId="77777777" w:rsidR="005432C8" w:rsidRDefault="00313D2B" w:rsidP="006400A9">
      <w:pPr>
        <w:pStyle w:val="Quote3"/>
      </w:pPr>
      <w:r>
        <w:t xml:space="preserve">The impact of the shape and dimensions of the lot on the ability of the development to meet any requirements of this schedule. The location and number of vehicle crossovers. </w:t>
      </w:r>
    </w:p>
    <w:p w14:paraId="33C38DF3" w14:textId="77777777" w:rsidR="005432C8" w:rsidRDefault="00313D2B" w:rsidP="006400A9">
      <w:pPr>
        <w:pStyle w:val="Quote3"/>
      </w:pPr>
      <w:r>
        <w:t xml:space="preserve">The impact of the development on nature strips and street trees. </w:t>
      </w:r>
    </w:p>
    <w:p w14:paraId="36D89033" w14:textId="317D6CCC" w:rsidR="00313D2B" w:rsidRDefault="00313D2B" w:rsidP="006400A9">
      <w:pPr>
        <w:pStyle w:val="Quote3"/>
      </w:pPr>
      <w:r>
        <w:t>The location, quantity and species of vegetation provided.</w:t>
      </w:r>
    </w:p>
    <w:p w14:paraId="56B2086B" w14:textId="12E7102A" w:rsidR="00094832" w:rsidRDefault="006A200D" w:rsidP="00FC78BD">
      <w:pPr>
        <w:pStyle w:val="Para1"/>
      </w:pPr>
      <w:r>
        <w:t>Clause 32.</w:t>
      </w:r>
      <w:r w:rsidR="00313D2B">
        <w:t>08</w:t>
      </w:r>
      <w:r>
        <w:t xml:space="preserve"> include</w:t>
      </w:r>
      <w:r w:rsidR="00313D2B">
        <w:t>s</w:t>
      </w:r>
      <w:r>
        <w:t xml:space="preserve"> a purpose that ties development to </w:t>
      </w:r>
      <w:r w:rsidR="00313D2B">
        <w:t>respecting neighbourhood</w:t>
      </w:r>
      <w:r>
        <w:t xml:space="preserve"> character</w:t>
      </w:r>
      <w:r w:rsidR="00313D2B">
        <w:t>.</w:t>
      </w:r>
      <w:r>
        <w:t xml:space="preserve">  Varied clause 55 standards are part of this.  </w:t>
      </w:r>
      <w:r w:rsidR="002B6A13">
        <w:t xml:space="preserve">It </w:t>
      </w:r>
      <w:r w:rsidR="0043348F">
        <w:t>appears to be</w:t>
      </w:r>
      <w:r w:rsidR="002B6A13">
        <w:t xml:space="preserve"> common ground</w:t>
      </w:r>
      <w:r w:rsidR="00F84A3D">
        <w:t xml:space="preserve"> between the parties</w:t>
      </w:r>
      <w:r w:rsidR="002B6A13">
        <w:t xml:space="preserve"> that the proposal </w:t>
      </w:r>
      <w:r w:rsidR="00DE3BAB">
        <w:t xml:space="preserve">essentially </w:t>
      </w:r>
      <w:r w:rsidR="002B6A13">
        <w:t>meets</w:t>
      </w:r>
      <w:r w:rsidR="001038D1">
        <w:t xml:space="preserve"> (or exceeds)</w:t>
      </w:r>
      <w:r w:rsidR="002B6A13">
        <w:t xml:space="preserve"> the varied standards</w:t>
      </w:r>
      <w:r w:rsidR="0043348F">
        <w:t>.</w:t>
      </w:r>
      <w:r w:rsidR="00DE3BAB">
        <w:rPr>
          <w:rStyle w:val="FootnoteReference"/>
        </w:rPr>
        <w:footnoteReference w:id="4"/>
      </w:r>
      <w:r w:rsidR="0043348F">
        <w:t xml:space="preserve"> I give this </w:t>
      </w:r>
      <w:r w:rsidR="002B6A13">
        <w:t>significant weight in assessing the proposal’s acceptability including its response to clause 32.</w:t>
      </w:r>
      <w:r w:rsidR="00313D2B">
        <w:t>08</w:t>
      </w:r>
      <w:r w:rsidR="002B6A13">
        <w:t xml:space="preserve">, </w:t>
      </w:r>
      <w:r w:rsidR="00313D2B">
        <w:t>GRZ3</w:t>
      </w:r>
      <w:r w:rsidR="002B6A13">
        <w:t xml:space="preserve"> and preferred character.  </w:t>
      </w:r>
    </w:p>
    <w:p w14:paraId="76BDC9F4" w14:textId="2494ECA2" w:rsidR="00094832" w:rsidRDefault="00094832" w:rsidP="00FC78BD">
      <w:pPr>
        <w:pStyle w:val="Para1"/>
      </w:pPr>
      <w:r>
        <w:t>Clause 22.01-2 has an overall neighbourhood character objectives including:</w:t>
      </w:r>
    </w:p>
    <w:p w14:paraId="3939E7B9" w14:textId="77777777" w:rsidR="00094832" w:rsidRDefault="00094832" w:rsidP="00094832">
      <w:pPr>
        <w:pStyle w:val="Quote3"/>
      </w:pPr>
      <w:r>
        <w:t xml:space="preserve">To build upon the important contribution that landscaping makes to the garden city character of Monash. </w:t>
      </w:r>
    </w:p>
    <w:p w14:paraId="21916D60" w14:textId="77777777" w:rsidR="00094832" w:rsidRDefault="00094832" w:rsidP="00094832">
      <w:pPr>
        <w:pStyle w:val="Quote3"/>
      </w:pPr>
      <w:r>
        <w:t xml:space="preserve">To encourage new development to achieve architectural and urban design outcomes that positively contribute to neighbourhood character having particular regard to the applicable preferred future character statement for the area. </w:t>
      </w:r>
    </w:p>
    <w:p w14:paraId="3C980294" w14:textId="4563D28E" w:rsidR="00094832" w:rsidRDefault="00094832" w:rsidP="00094832">
      <w:pPr>
        <w:pStyle w:val="Quote3"/>
      </w:pPr>
      <w:r>
        <w:t xml:space="preserve">To encourage the provision of a variety of housing types to accommodate future housing needs and preferences. </w:t>
      </w:r>
    </w:p>
    <w:p w14:paraId="1B92F776" w14:textId="34DCCEE5" w:rsidR="00094832" w:rsidRDefault="00094832" w:rsidP="00FC78BD">
      <w:pPr>
        <w:pStyle w:val="Para1"/>
      </w:pPr>
      <w:r>
        <w:t>Among relevant policies</w:t>
      </w:r>
      <w:r w:rsidR="008E6B95">
        <w:t xml:space="preserve"> at clause 22.01-3 are general policies that include to “</w:t>
      </w:r>
      <w:r w:rsidR="008E6B95" w:rsidRPr="008E6B95">
        <w:rPr>
          <w:i/>
          <w:iCs/>
        </w:rPr>
        <w:t>Preserve and enhance treed character of Monash</w:t>
      </w:r>
      <w:r w:rsidR="008E6B95">
        <w:t xml:space="preserve">”.  In addition, policies </w:t>
      </w:r>
      <w:r w:rsidR="007C574A">
        <w:rPr>
          <w:noProof/>
        </w:rPr>
        <w:lastRenderedPageBreak/>
        <w:drawing>
          <wp:anchor distT="0" distB="0" distL="114300" distR="114300" simplePos="0" relativeHeight="251662336" behindDoc="1" locked="0" layoutInCell="1" allowOverlap="1" wp14:anchorId="15FA02FB" wp14:editId="2C0CB983">
            <wp:simplePos x="0" y="0"/>
            <wp:positionH relativeFrom="column">
              <wp:posOffset>5183505</wp:posOffset>
            </wp:positionH>
            <wp:positionV relativeFrom="paragraph">
              <wp:posOffset>8459470</wp:posOffset>
            </wp:positionV>
            <wp:extent cx="1080000" cy="1080000"/>
            <wp:effectExtent l="0" t="0" r="6350" b="6350"/>
            <wp:wrapNone/>
            <wp:docPr id="8" name="VCAT Seal5"/>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E6B95">
        <w:t>relating to landscaping and vehicle crossings include the following (as relevant to this case):</w:t>
      </w:r>
    </w:p>
    <w:p w14:paraId="517C162D" w14:textId="77777777" w:rsidR="008E6B95" w:rsidRPr="008E6B95" w:rsidRDefault="008E6B95" w:rsidP="008E6B95">
      <w:pPr>
        <w:pStyle w:val="Quote1"/>
        <w:rPr>
          <w:b/>
          <w:bCs/>
        </w:rPr>
      </w:pPr>
      <w:r w:rsidRPr="008E6B95">
        <w:rPr>
          <w:b/>
          <w:bCs/>
        </w:rPr>
        <w:t>Landscaping</w:t>
      </w:r>
    </w:p>
    <w:p w14:paraId="33F6DD7C" w14:textId="77777777" w:rsidR="008E6B95" w:rsidRDefault="008E6B95" w:rsidP="008E6B95">
      <w:pPr>
        <w:pStyle w:val="Quote1"/>
      </w:pPr>
      <w:r w:rsidRPr="008E6B95">
        <w:t xml:space="preserve">Site buildings to minimise the need to remove significant trees, and protect significant trees on the site and adjoining properties. </w:t>
      </w:r>
    </w:p>
    <w:p w14:paraId="1096F4E4" w14:textId="77777777" w:rsidR="008E6B95" w:rsidRDefault="008E6B95" w:rsidP="008E6B95">
      <w:pPr>
        <w:pStyle w:val="Quote1"/>
      </w:pPr>
      <w:r w:rsidRPr="008E6B95">
        <w:t xml:space="preserve">Ensure development is adequately set back from existing and proposed trees to ensure their protection and longevity. </w:t>
      </w:r>
    </w:p>
    <w:p w14:paraId="75551527" w14:textId="77777777" w:rsidR="008E6B95" w:rsidRDefault="008E6B95" w:rsidP="008E6B95">
      <w:pPr>
        <w:pStyle w:val="Quote1"/>
      </w:pPr>
      <w:r w:rsidRPr="008E6B95">
        <w:t xml:space="preserve">Retain or plant canopy trees, particularly within front setbacks to soften the appearance of the built form and contribute to the landscape character of the area. </w:t>
      </w:r>
    </w:p>
    <w:p w14:paraId="65FB8CE4" w14:textId="3CBB8D0A" w:rsidR="008E6B95" w:rsidRPr="008E6B95" w:rsidRDefault="008E6B95" w:rsidP="008E6B95">
      <w:pPr>
        <w:pStyle w:val="Quote1"/>
      </w:pPr>
      <w:r w:rsidRPr="00C31D56">
        <w:rPr>
          <w:u w:val="single"/>
        </w:rPr>
        <w:t>Ensure street trees are retained and protected</w:t>
      </w:r>
      <w:r w:rsidRPr="008E6B95">
        <w:t>.</w:t>
      </w:r>
    </w:p>
    <w:p w14:paraId="6FDA5285" w14:textId="77777777" w:rsidR="008E6B95" w:rsidRPr="008E6B95" w:rsidRDefault="008E6B95" w:rsidP="008E6B95">
      <w:pPr>
        <w:pStyle w:val="Quote1"/>
        <w:rPr>
          <w:b/>
          <w:bCs/>
        </w:rPr>
      </w:pPr>
      <w:r w:rsidRPr="008E6B95">
        <w:rPr>
          <w:b/>
          <w:bCs/>
        </w:rPr>
        <w:t xml:space="preserve">Vehicle crossings </w:t>
      </w:r>
    </w:p>
    <w:p w14:paraId="060C92C3" w14:textId="77777777" w:rsidR="008E6B95" w:rsidRDefault="008E6B95" w:rsidP="008E6B95">
      <w:pPr>
        <w:pStyle w:val="Quote3"/>
      </w:pPr>
      <w:r w:rsidRPr="008E6B95">
        <w:t xml:space="preserve">Locate and minimise vehicle crossovers to prevent traffic disruption, and preserve nature strips </w:t>
      </w:r>
      <w:r w:rsidRPr="00C31D56">
        <w:rPr>
          <w:u w:val="single"/>
        </w:rPr>
        <w:t>and street trees</w:t>
      </w:r>
      <w:r w:rsidRPr="008E6B95">
        <w:t xml:space="preserve">. </w:t>
      </w:r>
    </w:p>
    <w:p w14:paraId="771D7B50" w14:textId="45AC5039" w:rsidR="008E6B95" w:rsidRDefault="008E6B95" w:rsidP="008E6B95">
      <w:pPr>
        <w:pStyle w:val="Quote3"/>
      </w:pPr>
      <w:r w:rsidRPr="008E6B95">
        <w:t>Maximise landscaping in front setback areas by minimising the number of crossovers.</w:t>
      </w:r>
    </w:p>
    <w:p w14:paraId="7E8E63AF" w14:textId="0727BD19" w:rsidR="00C31D56" w:rsidRPr="008E6B95" w:rsidRDefault="00C31D56" w:rsidP="00C31D56">
      <w:pPr>
        <w:pStyle w:val="Quote3"/>
        <w:numPr>
          <w:ilvl w:val="0"/>
          <w:numId w:val="0"/>
        </w:numPr>
        <w:ind w:left="1134"/>
      </w:pPr>
      <w:r>
        <w:t>[Tribunal emphasis added]</w:t>
      </w:r>
    </w:p>
    <w:p w14:paraId="5579CE47" w14:textId="1B014047" w:rsidR="006A200D" w:rsidRDefault="002B6A13" w:rsidP="00FC78BD">
      <w:pPr>
        <w:pStyle w:val="Para1"/>
      </w:pPr>
      <w:r>
        <w:t>T</w:t>
      </w:r>
      <w:r w:rsidR="006A200D">
        <w:t>he</w:t>
      </w:r>
      <w:r w:rsidR="00C31C66">
        <w:t xml:space="preserve"> </w:t>
      </w:r>
      <w:r w:rsidR="00094832">
        <w:t xml:space="preserve">relevant </w:t>
      </w:r>
      <w:r w:rsidR="006A200D">
        <w:t>preferred future character statement is</w:t>
      </w:r>
      <w:r w:rsidR="00094832">
        <w:t xml:space="preserve"> </w:t>
      </w:r>
      <w:r w:rsidR="000E184A">
        <w:t>as follows</w:t>
      </w:r>
      <w:r w:rsidR="006A200D">
        <w:t>:</w:t>
      </w:r>
      <w:r w:rsidR="006A200D">
        <w:rPr>
          <w:rStyle w:val="FootnoteReference"/>
        </w:rPr>
        <w:footnoteReference w:id="5"/>
      </w:r>
      <w:r w:rsidR="006A200D">
        <w:t xml:space="preserve"> </w:t>
      </w:r>
    </w:p>
    <w:p w14:paraId="70C1481D" w14:textId="77777777" w:rsidR="008E6B95" w:rsidRDefault="008E6B95" w:rsidP="006A200D">
      <w:pPr>
        <w:pStyle w:val="Quote1"/>
        <w:ind w:left="1701"/>
      </w:pPr>
      <w:r>
        <w:t xml:space="preserve">Although there will be changes to some of the houses within this area, including the development of well-designed and sensitive unit development and, on suitable sites, some apartment development, these will take place within a pleasant leafy framework of well-vegetated front and rear gardens and large canopy trees. </w:t>
      </w:r>
    </w:p>
    <w:p w14:paraId="71E90D03" w14:textId="77777777" w:rsidR="008E6B95" w:rsidRDefault="008E6B95" w:rsidP="006A200D">
      <w:pPr>
        <w:pStyle w:val="Quote1"/>
        <w:ind w:left="1701"/>
      </w:pPr>
      <w:r>
        <w:t xml:space="preserve">Setbacks will be generous and consistent within individual streets. Building heights will vary between neighbourhoods. Neighbourhoods with diverse topography and a well-developed mature tree canopy will have a larger proportion of two storey buildings. In the lower, less wooded areas, buildings will be mainly low rise unless existing vegetation or a gradation in height softens the scale contrast between buildings. New development will complement the established buildings through consistent siting, articulated facades and use of materials. New development will consider energy efficiency and sustainability principles. Long expanses of blank wall will be avoided, particularly when adjacent to public parks, reserves and other open space areas, where the building should address the public area. </w:t>
      </w:r>
    </w:p>
    <w:p w14:paraId="1F0E7184" w14:textId="77777777" w:rsidR="008E6B95" w:rsidRDefault="008E6B95" w:rsidP="006A200D">
      <w:pPr>
        <w:pStyle w:val="Quote1"/>
        <w:ind w:left="1701"/>
      </w:pPr>
      <w:r>
        <w:t xml:space="preserve">Architecture, including new buildings and extensions, will usually be secondary in visual significance to the landscape of the area when viewed from the street. New development will be screened from the street and neighbouring properties by well planted gardens that will ensure the soft leafy nature of the street is retained. </w:t>
      </w:r>
    </w:p>
    <w:p w14:paraId="54D4BD1C" w14:textId="4782375E" w:rsidR="008E6B95" w:rsidRDefault="007C574A" w:rsidP="006A200D">
      <w:pPr>
        <w:pStyle w:val="Quote1"/>
        <w:ind w:left="1701"/>
      </w:pPr>
      <w:r>
        <w:rPr>
          <w:noProof/>
        </w:rPr>
        <w:lastRenderedPageBreak/>
        <w:drawing>
          <wp:anchor distT="0" distB="0" distL="114300" distR="114300" simplePos="0" relativeHeight="251663360" behindDoc="1" locked="0" layoutInCell="1" allowOverlap="1" wp14:anchorId="6992F912" wp14:editId="312DEBC2">
            <wp:simplePos x="0" y="0"/>
            <wp:positionH relativeFrom="column">
              <wp:posOffset>5183505</wp:posOffset>
            </wp:positionH>
            <wp:positionV relativeFrom="paragraph">
              <wp:posOffset>8459470</wp:posOffset>
            </wp:positionV>
            <wp:extent cx="1080000" cy="1080000"/>
            <wp:effectExtent l="0" t="0" r="6350" b="6350"/>
            <wp:wrapNone/>
            <wp:docPr id="9" name="VCAT Seal6"/>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E6B95">
        <w:t xml:space="preserve">Gardens will consist of open lawns, planted with a mix of native and exotic vegetation and trees. Existing mature trees and shrubs will be retained and additional tree planting within streets and private gardens will add to the tree canopy of the area. </w:t>
      </w:r>
    </w:p>
    <w:p w14:paraId="67DC2E4A" w14:textId="77777777" w:rsidR="008E6B95" w:rsidRDefault="008E6B95" w:rsidP="006A200D">
      <w:pPr>
        <w:pStyle w:val="Quote1"/>
        <w:ind w:left="1701"/>
      </w:pPr>
      <w:r>
        <w:t xml:space="preserve">Buildings will be clearly visible through these low garden settings, and nonexistent or transparent front fences. Additional vehicle crossovers will be discouraged. </w:t>
      </w:r>
    </w:p>
    <w:p w14:paraId="6C8A564A" w14:textId="77777777" w:rsidR="008E6B95" w:rsidRDefault="008E6B95" w:rsidP="006A200D">
      <w:pPr>
        <w:pStyle w:val="Quote1"/>
        <w:ind w:left="1701"/>
      </w:pPr>
      <w:r>
        <w:t xml:space="preserve">The built-form will be visually unified by well-planted front gardens that contain large trees and shrubs and street tree planting. Trees within lots to be redeveloped will be retained wherever possible to maintain the established leafy character. </w:t>
      </w:r>
    </w:p>
    <w:p w14:paraId="2AA6A304" w14:textId="04E8A839" w:rsidR="006A200D" w:rsidRPr="00AD5A29" w:rsidRDefault="008E6B95" w:rsidP="006A200D">
      <w:pPr>
        <w:pStyle w:val="Quote1"/>
        <w:ind w:left="1701"/>
      </w:pPr>
      <w:r>
        <w:t>Landscape elements such as remnant indigenous vegetation and the large old coniferous wind-rows will be retained until trees are no longer healthy or safe</w:t>
      </w:r>
      <w:r w:rsidR="006A200D" w:rsidRPr="00AD5A29">
        <w:t>.</w:t>
      </w:r>
    </w:p>
    <w:p w14:paraId="2C5626F0" w14:textId="4E4B0E36" w:rsidR="00313D2B" w:rsidRDefault="006B4136" w:rsidP="001D2E9D">
      <w:pPr>
        <w:pStyle w:val="Para1"/>
      </w:pPr>
      <w:r>
        <w:t>I have considered the d</w:t>
      </w:r>
      <w:r w:rsidR="008E6B95">
        <w:t>ecision guidelines at clause</w:t>
      </w:r>
      <w:r w:rsidR="00165B27">
        <w:t xml:space="preserve"> </w:t>
      </w:r>
      <w:r w:rsidR="008E6B95">
        <w:t>22.01-5.</w:t>
      </w:r>
    </w:p>
    <w:p w14:paraId="365525CC" w14:textId="1D4C4AEF" w:rsidR="00B50036" w:rsidRPr="00873F17" w:rsidRDefault="00165B27" w:rsidP="00214234">
      <w:pPr>
        <w:pStyle w:val="Para1"/>
      </w:pPr>
      <w:r>
        <w:t xml:space="preserve">Rezoning of the land in November 2019 to GRZ3, other changes to both local policy at clause 21.04, and the policies and new preferred character statements at </w:t>
      </w:r>
      <w:r w:rsidR="000E184A">
        <w:t xml:space="preserve">clause </w:t>
      </w:r>
      <w:r>
        <w:t>22.01 result in a different planning context than applied at the time of other Tribunal decisions to which I have been referred.</w:t>
      </w:r>
      <w:r w:rsidR="00FD483D">
        <w:rPr>
          <w:rStyle w:val="FootnoteReference"/>
        </w:rPr>
        <w:footnoteReference w:id="6"/>
      </w:r>
      <w:r>
        <w:t xml:space="preserve"> While I agree with Mr Mackenzie that the policy seeking one crossover per lot has </w:t>
      </w:r>
      <w:r w:rsidRPr="00165B27">
        <w:rPr>
          <w:color w:val="000000" w:themeColor="text1"/>
          <w:shd w:val="clear" w:color="auto" w:fill="FFFFFF"/>
        </w:rPr>
        <w:t xml:space="preserve">existed in the scheme for a lengthy period, </w:t>
      </w:r>
      <w:r>
        <w:rPr>
          <w:color w:val="000000" w:themeColor="text1"/>
          <w:shd w:val="clear" w:color="auto" w:fill="FFFFFF"/>
        </w:rPr>
        <w:t xml:space="preserve">I must </w:t>
      </w:r>
      <w:r>
        <w:t>apply the scheme as I find it based on the current provisions and policies. The scheme</w:t>
      </w:r>
      <w:r>
        <w:rPr>
          <w:color w:val="000000" w:themeColor="text1"/>
          <w:shd w:val="clear" w:color="auto" w:fill="FFFFFF"/>
        </w:rPr>
        <w:t xml:space="preserve"> has changed since November 2019</w:t>
      </w:r>
      <w:r w:rsidR="001303B2">
        <w:rPr>
          <w:color w:val="000000" w:themeColor="text1"/>
          <w:shd w:val="clear" w:color="auto" w:fill="FFFFFF"/>
        </w:rPr>
        <w:t>, notwithstanding some policy themes remain the same</w:t>
      </w:r>
      <w:r>
        <w:rPr>
          <w:color w:val="000000" w:themeColor="text1"/>
          <w:shd w:val="clear" w:color="auto" w:fill="FFFFFF"/>
        </w:rPr>
        <w:t xml:space="preserve">.  </w:t>
      </w:r>
      <w:r w:rsidR="00C05F8F" w:rsidRPr="00165B27">
        <w:rPr>
          <w:color w:val="000000" w:themeColor="text1"/>
          <w:shd w:val="clear" w:color="auto" w:fill="FFFFFF"/>
        </w:rPr>
        <w:t xml:space="preserve">To the extent that </w:t>
      </w:r>
      <w:r w:rsidR="008E6B95" w:rsidRPr="00165B27">
        <w:rPr>
          <w:color w:val="000000" w:themeColor="text1"/>
          <w:shd w:val="clear" w:color="auto" w:fill="FFFFFF"/>
        </w:rPr>
        <w:t>the applicant</w:t>
      </w:r>
      <w:r w:rsidR="00FB472A">
        <w:rPr>
          <w:color w:val="000000" w:themeColor="text1"/>
          <w:shd w:val="clear" w:color="auto" w:fill="FFFFFF"/>
        </w:rPr>
        <w:t>s</w:t>
      </w:r>
      <w:r w:rsidR="008E6B95" w:rsidRPr="00165B27">
        <w:rPr>
          <w:color w:val="000000" w:themeColor="text1"/>
          <w:shd w:val="clear" w:color="auto" w:fill="FFFFFF"/>
        </w:rPr>
        <w:t xml:space="preserve"> cite decisions in other cases</w:t>
      </w:r>
      <w:r w:rsidR="00C05F8F" w:rsidRPr="00165B27">
        <w:rPr>
          <w:color w:val="000000" w:themeColor="text1"/>
          <w:shd w:val="clear" w:color="auto" w:fill="FFFFFF"/>
        </w:rPr>
        <w:t xml:space="preserve"> </w:t>
      </w:r>
      <w:r w:rsidR="008E6B95" w:rsidRPr="00165B27">
        <w:rPr>
          <w:color w:val="000000" w:themeColor="text1"/>
          <w:shd w:val="clear" w:color="auto" w:fill="FFFFFF"/>
        </w:rPr>
        <w:t>(eg. support for the</w:t>
      </w:r>
      <w:r w:rsidR="006E0272" w:rsidRPr="00165B27">
        <w:rPr>
          <w:color w:val="000000" w:themeColor="text1"/>
          <w:shd w:val="clear" w:color="auto" w:fill="FFFFFF"/>
        </w:rPr>
        <w:t xml:space="preserve"> removal of a street tree in </w:t>
      </w:r>
      <w:r w:rsidR="006E0272" w:rsidRPr="00165B27">
        <w:rPr>
          <w:i/>
          <w:iCs/>
          <w:color w:val="000000" w:themeColor="text1"/>
          <w:shd w:val="clear" w:color="auto" w:fill="FFFFFF"/>
        </w:rPr>
        <w:t>Thye Hern Lim</w:t>
      </w:r>
      <w:r w:rsidR="00C05F8F">
        <w:rPr>
          <w:rStyle w:val="FootnoteReference"/>
          <w:color w:val="000000" w:themeColor="text1"/>
          <w:shd w:val="clear" w:color="auto" w:fill="FFFFFF"/>
        </w:rPr>
        <w:footnoteReference w:id="7"/>
      </w:r>
      <w:r w:rsidR="008E6B95" w:rsidRPr="00165B27">
        <w:rPr>
          <w:color w:val="000000" w:themeColor="text1"/>
          <w:shd w:val="clear" w:color="auto" w:fill="FFFFFF"/>
        </w:rPr>
        <w:t>)</w:t>
      </w:r>
      <w:r w:rsidR="005F74DC" w:rsidRPr="00165B27">
        <w:rPr>
          <w:color w:val="000000" w:themeColor="text1"/>
          <w:shd w:val="clear" w:color="auto" w:fill="FFFFFF"/>
        </w:rPr>
        <w:t xml:space="preserve"> it will be evident when reading that decision and my decision that each proposal has been assessed on its merits and in its own </w:t>
      </w:r>
      <w:r w:rsidR="006E0272" w:rsidRPr="00165B27">
        <w:rPr>
          <w:color w:val="000000" w:themeColor="text1"/>
          <w:shd w:val="clear" w:color="auto" w:fill="FFFFFF"/>
        </w:rPr>
        <w:t>planning context</w:t>
      </w:r>
      <w:r w:rsidR="008E6B95" w:rsidRPr="00165B27">
        <w:rPr>
          <w:color w:val="000000" w:themeColor="text1"/>
          <w:shd w:val="clear" w:color="auto" w:fill="FFFFFF"/>
        </w:rPr>
        <w:t xml:space="preserve">.  </w:t>
      </w:r>
    </w:p>
    <w:p w14:paraId="39F421E8" w14:textId="65E2B442" w:rsidR="00F91743" w:rsidRPr="00F91743" w:rsidRDefault="001A7BC2" w:rsidP="00B50036">
      <w:pPr>
        <w:pStyle w:val="Heading2"/>
        <w:rPr>
          <w:sz w:val="22"/>
          <w:szCs w:val="22"/>
          <w:lang w:eastAsia="en-AU"/>
        </w:rPr>
      </w:pPr>
      <w:r>
        <w:t xml:space="preserve">REMOVAL OF A </w:t>
      </w:r>
      <w:r w:rsidR="00313D2B">
        <w:t>Street Tree</w:t>
      </w:r>
    </w:p>
    <w:p w14:paraId="20C1FC4C" w14:textId="77777777" w:rsidR="0083552E" w:rsidRDefault="0083552E" w:rsidP="0083552E">
      <w:pPr>
        <w:pStyle w:val="Heading3"/>
      </w:pPr>
      <w:r>
        <w:t>Issues</w:t>
      </w:r>
    </w:p>
    <w:p w14:paraId="069DC22A" w14:textId="6B0FF011" w:rsidR="00CC66E9" w:rsidRDefault="00253C26" w:rsidP="00D0631A">
      <w:pPr>
        <w:pStyle w:val="Para1"/>
      </w:pPr>
      <w:r>
        <w:t>T</w:t>
      </w:r>
      <w:r w:rsidR="00CC66E9">
        <w:t xml:space="preserve">he street tree in issue </w:t>
      </w:r>
      <w:r w:rsidR="000E184A">
        <w:t xml:space="preserve">is </w:t>
      </w:r>
      <w:r w:rsidR="00CC66E9">
        <w:t>a Snow Gum (</w:t>
      </w:r>
      <w:r w:rsidR="00CC66E9" w:rsidRPr="00CC66E9">
        <w:rPr>
          <w:i/>
          <w:iCs/>
        </w:rPr>
        <w:t>Eucalyptus Pauciflora</w:t>
      </w:r>
      <w:r w:rsidR="00CC66E9">
        <w:t xml:space="preserve">) based on the expert evidence. The tree was identified in an earlier arborist report on </w:t>
      </w:r>
      <w:r w:rsidR="00FB472A">
        <w:t>be</w:t>
      </w:r>
      <w:r w:rsidR="00CC66E9">
        <w:t>half of the applicant</w:t>
      </w:r>
      <w:r w:rsidR="00FB472A">
        <w:t>s</w:t>
      </w:r>
      <w:r w:rsidR="00CC66E9">
        <w:t xml:space="preserve"> </w:t>
      </w:r>
      <w:r w:rsidR="000E184A">
        <w:t>as</w:t>
      </w:r>
      <w:r w:rsidR="00CC66E9">
        <w:t xml:space="preserve"> a Yellow Gum while the Council’s Arborist referred to it as a Wallangarra White Gum.   The parties have proceeded on the basis of the expert evidence and neither contend that anything turns on the various descriptions as part of the permit application process.</w:t>
      </w:r>
    </w:p>
    <w:p w14:paraId="49543F33" w14:textId="093067E3" w:rsidR="00313D2B" w:rsidRDefault="00FF7637" w:rsidP="00B90A42">
      <w:pPr>
        <w:pStyle w:val="Para1"/>
      </w:pPr>
      <w:r>
        <w:t xml:space="preserve">The Council </w:t>
      </w:r>
      <w:r w:rsidR="00CC66E9">
        <w:t>submits</w:t>
      </w:r>
      <w:r w:rsidR="000E37F3">
        <w:t xml:space="preserve"> the development will destroy the Snow</w:t>
      </w:r>
      <w:r w:rsidR="00873A35">
        <w:t xml:space="preserve"> G</w:t>
      </w:r>
      <w:r w:rsidR="000E37F3">
        <w:t>um</w:t>
      </w:r>
      <w:r w:rsidR="00873A35">
        <w:t xml:space="preserve"> which is in fair to good health. The tree should be and could be retained while the site is redeveloped in a tandem format. The Council submits retention of the tree is consistent with GRZ3, </w:t>
      </w:r>
      <w:r w:rsidR="005E3FD4">
        <w:t xml:space="preserve">and policies in </w:t>
      </w:r>
      <w:r w:rsidR="00873A35">
        <w:t>clauses 21.04, 22.01 and 22.05, and its loss is too great a sacrifice to be considered an acceptable planning outcome for the street. The tree is regarded by the Council as being healthy, important to neighbourhood character, and with a long use</w:t>
      </w:r>
      <w:r w:rsidR="00253C26">
        <w:t>ful</w:t>
      </w:r>
      <w:r w:rsidR="00873A35">
        <w:t xml:space="preserve"> </w:t>
      </w:r>
      <w:r w:rsidR="007C574A">
        <w:rPr>
          <w:noProof/>
        </w:rPr>
        <w:lastRenderedPageBreak/>
        <w:drawing>
          <wp:anchor distT="0" distB="0" distL="114300" distR="114300" simplePos="0" relativeHeight="251664384" behindDoc="1" locked="0" layoutInCell="1" allowOverlap="1" wp14:anchorId="210E3334" wp14:editId="38432DE8">
            <wp:simplePos x="0" y="0"/>
            <wp:positionH relativeFrom="column">
              <wp:posOffset>5183505</wp:posOffset>
            </wp:positionH>
            <wp:positionV relativeFrom="paragraph">
              <wp:posOffset>8459470</wp:posOffset>
            </wp:positionV>
            <wp:extent cx="1080000" cy="1080000"/>
            <wp:effectExtent l="0" t="0" r="6350" b="6350"/>
            <wp:wrapNone/>
            <wp:docPr id="10" name="VCAT Seal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73A35">
        <w:t xml:space="preserve">life expectancy.  </w:t>
      </w:r>
      <w:r w:rsidR="005E3FD4">
        <w:t>Mr Turner submits that loss of the tree will see the development dominated by hard surfaces rather than trees and landscaping thereby fragmenting the streetscape.</w:t>
      </w:r>
    </w:p>
    <w:p w14:paraId="24448684" w14:textId="442223AA" w:rsidR="005E3FD4" w:rsidRDefault="001303B2" w:rsidP="00D0631A">
      <w:pPr>
        <w:pStyle w:val="Para1"/>
      </w:pPr>
      <w:r>
        <w:t>The applicant</w:t>
      </w:r>
      <w:r w:rsidR="00FB472A">
        <w:t>s</w:t>
      </w:r>
      <w:r>
        <w:t xml:space="preserve"> submit that the </w:t>
      </w:r>
      <w:r w:rsidR="00021372">
        <w:t xml:space="preserve">Council’s concerns about two driveways and a side-by-side typology are heightened or reinforced by the need to remove the existing street tree. Only one of three street trees is to be removed. </w:t>
      </w:r>
      <w:r w:rsidR="005E3FD4">
        <w:t xml:space="preserve"> The applicant</w:t>
      </w:r>
      <w:r w:rsidR="00FB472A">
        <w:t>s</w:t>
      </w:r>
      <w:r w:rsidR="005E3FD4">
        <w:t xml:space="preserve"> rel</w:t>
      </w:r>
      <w:r w:rsidR="00FB472A">
        <w:t>y</w:t>
      </w:r>
      <w:r w:rsidR="005E3FD4">
        <w:t xml:space="preserve"> on Mr Nees’ evidence with respect to observations about the street tree in issue, the other two street trees that are to be retained, and street trees in the wider area.  </w:t>
      </w:r>
    </w:p>
    <w:p w14:paraId="0BFA855A" w14:textId="5A8D1A0F" w:rsidR="005E3FD4" w:rsidRDefault="005E3FD4" w:rsidP="00D0631A">
      <w:pPr>
        <w:pStyle w:val="Para1"/>
      </w:pPr>
      <w:r>
        <w:t>Among Mr Nees’ observations are that there is no uniform or consistent street tree pattern in terms of species, size, maturity, spacing, and a number of trees adjacent to individual lots.  Mr Nees suggest</w:t>
      </w:r>
      <w:r w:rsidR="000E184A">
        <w:t>s</w:t>
      </w:r>
      <w:r>
        <w:t xml:space="preserve"> that there </w:t>
      </w:r>
      <w:r w:rsidR="000E184A">
        <w:t xml:space="preserve">is </w:t>
      </w:r>
      <w:r>
        <w:t>an opportunity to plant a new street tree on a neighbouring frontage</w:t>
      </w:r>
      <w:r w:rsidR="00C31D56">
        <w:t>;</w:t>
      </w:r>
      <w:r>
        <w:t xml:space="preserve"> potentially a flowering gum as </w:t>
      </w:r>
      <w:r w:rsidR="000E184A">
        <w:t xml:space="preserve">it </w:t>
      </w:r>
      <w:r>
        <w:t xml:space="preserve">is used successfully elsewhere as a street tree.  This species has a consistent form, more impressive canopy, and better suited to a street tree compared with a </w:t>
      </w:r>
      <w:r w:rsidR="00E409BF">
        <w:t>Snow Gum</w:t>
      </w:r>
      <w:r>
        <w:t>. A flowering gum could reach a similar height as the existing Snow</w:t>
      </w:r>
      <w:r w:rsidR="00E409BF">
        <w:t xml:space="preserve"> Gu</w:t>
      </w:r>
      <w:r>
        <w:t xml:space="preserve">m in approximately five years. </w:t>
      </w:r>
    </w:p>
    <w:p w14:paraId="57BE4DA2" w14:textId="77777777" w:rsidR="00C31D56" w:rsidRDefault="005E3FD4" w:rsidP="00D0631A">
      <w:pPr>
        <w:pStyle w:val="Para1"/>
      </w:pPr>
      <w:r>
        <w:t>The applicant</w:t>
      </w:r>
      <w:r w:rsidR="00FB472A">
        <w:t>s</w:t>
      </w:r>
      <w:r>
        <w:t xml:space="preserve"> submit that removal of the street tree will not disrupt a consistent pattern of mature trees. Its removal is an acceptable outcome when balancing all relevant considerations, including new planting proposed in the front setback of the development. A strong front garden character will be achieved.</w:t>
      </w:r>
      <w:r w:rsidR="00E409BF">
        <w:t xml:space="preserve">  </w:t>
      </w:r>
    </w:p>
    <w:p w14:paraId="121F4B7C" w14:textId="5F8CABA8" w:rsidR="00D0631A" w:rsidRDefault="00E409BF" w:rsidP="00D0631A">
      <w:pPr>
        <w:pStyle w:val="Para1"/>
      </w:pPr>
      <w:r>
        <w:t xml:space="preserve">Mr Mackenzie refers to the Tribunal’s findings in </w:t>
      </w:r>
      <w:r w:rsidRPr="00165B27">
        <w:rPr>
          <w:i/>
          <w:iCs/>
          <w:color w:val="000000" w:themeColor="text1"/>
          <w:shd w:val="clear" w:color="auto" w:fill="FFFFFF"/>
        </w:rPr>
        <w:t>Thye Hern Lim</w:t>
      </w:r>
      <w:r>
        <w:rPr>
          <w:rStyle w:val="FootnoteReference"/>
          <w:color w:val="000000" w:themeColor="text1"/>
          <w:shd w:val="clear" w:color="auto" w:fill="FFFFFF"/>
        </w:rPr>
        <w:footnoteReference w:id="8"/>
      </w:r>
      <w:r>
        <w:rPr>
          <w:color w:val="000000" w:themeColor="text1"/>
          <w:shd w:val="clear" w:color="auto" w:fill="FFFFFF"/>
        </w:rPr>
        <w:t xml:space="preserve"> </w:t>
      </w:r>
      <w:r w:rsidR="0099394D">
        <w:rPr>
          <w:color w:val="000000" w:themeColor="text1"/>
          <w:shd w:val="clear" w:color="auto" w:fill="FFFFFF"/>
        </w:rPr>
        <w:t>where the Tribunal records expert evidence that street trees in Glenora Street comprise an eclectic mix of species, with little consistency in planting, age, theme or arrangement. The evidence was that there is not an integrated avenue of trees or a coheren</w:t>
      </w:r>
      <w:r w:rsidR="00C31D56">
        <w:rPr>
          <w:color w:val="000000" w:themeColor="text1"/>
          <w:shd w:val="clear" w:color="auto" w:fill="FFFFFF"/>
        </w:rPr>
        <w:t>t</w:t>
      </w:r>
      <w:r w:rsidR="0099394D">
        <w:rPr>
          <w:color w:val="000000" w:themeColor="text1"/>
          <w:shd w:val="clear" w:color="auto" w:fill="FFFFFF"/>
        </w:rPr>
        <w:t xml:space="preserve"> streetscape. In time, there would be no loss in a number of trees and little change in the streetscape having regard to the potential to plant a new tree.</w:t>
      </w:r>
    </w:p>
    <w:p w14:paraId="180304EE" w14:textId="37FC39C3" w:rsidR="00313D2B" w:rsidRDefault="00C31D56" w:rsidP="00D0631A">
      <w:pPr>
        <w:pStyle w:val="Para1"/>
      </w:pPr>
      <w:r>
        <w:t>T</w:t>
      </w:r>
      <w:r w:rsidR="005E3FD4">
        <w:t xml:space="preserve">he permit application </w:t>
      </w:r>
      <w:r>
        <w:t xml:space="preserve">does not </w:t>
      </w:r>
      <w:r w:rsidR="005E3FD4">
        <w:t>propose removal of the northern most street tree, a Hakea</w:t>
      </w:r>
      <w:r>
        <w:t>.  Notwithstanding</w:t>
      </w:r>
      <w:r w:rsidR="005E3FD4">
        <w:t>, Mr Mackenzie suggest</w:t>
      </w:r>
      <w:r w:rsidR="00253C26">
        <w:t>s</w:t>
      </w:r>
      <w:r w:rsidR="005E3FD4">
        <w:t xml:space="preserve"> that the Tribunal could consider its removal as part of the current consideration</w:t>
      </w:r>
      <w:r w:rsidR="000E184A">
        <w:t>,</w:t>
      </w:r>
      <w:r w:rsidR="005E3FD4">
        <w:t xml:space="preserve"> mindful that its removal was said to be acceptable by the Council’s internal referral in April 2019.</w:t>
      </w:r>
    </w:p>
    <w:p w14:paraId="657A525B" w14:textId="77777777" w:rsidR="0083552E" w:rsidRDefault="0083552E" w:rsidP="0083552E">
      <w:pPr>
        <w:pStyle w:val="Heading3"/>
      </w:pPr>
      <w:r>
        <w:t>Findings</w:t>
      </w:r>
    </w:p>
    <w:p w14:paraId="5C45D9F6" w14:textId="57DE2AF2" w:rsidR="007771AD" w:rsidRDefault="007771AD" w:rsidP="00FC78BD">
      <w:pPr>
        <w:pStyle w:val="Para1"/>
      </w:pPr>
      <w:r>
        <w:t>The applicant</w:t>
      </w:r>
      <w:r w:rsidR="00FB472A">
        <w:t>s</w:t>
      </w:r>
      <w:r>
        <w:t xml:space="preserve"> do not contest that the removal of the </w:t>
      </w:r>
      <w:r w:rsidR="00CF4C8D">
        <w:t>Snow Gum</w:t>
      </w:r>
      <w:r>
        <w:t xml:space="preserve"> is required as a consequence of the design response adopted. That is, there are no submissions that the design response can proceed with the street tree being able to be retained and protected.</w:t>
      </w:r>
    </w:p>
    <w:p w14:paraId="441968FA" w14:textId="09DC5D48" w:rsidR="00313D2B" w:rsidRDefault="004035A0" w:rsidP="00FC78BD">
      <w:pPr>
        <w:pStyle w:val="Para1"/>
      </w:pPr>
      <w:r>
        <w:t xml:space="preserve">The </w:t>
      </w:r>
      <w:r w:rsidR="00CF4C8D">
        <w:t>Snow Gum</w:t>
      </w:r>
      <w:r>
        <w:t xml:space="preserve"> is the largest of the three street trees. This can be seen in my photographs below.</w:t>
      </w:r>
    </w:p>
    <w:p w14:paraId="517B1E0B" w14:textId="6586E965" w:rsidR="0065120A" w:rsidRDefault="007C574A" w:rsidP="00CF4C8D">
      <w:pPr>
        <w:pStyle w:val="Para1"/>
        <w:numPr>
          <w:ilvl w:val="0"/>
          <w:numId w:val="0"/>
        </w:numPr>
        <w:jc w:val="center"/>
      </w:pPr>
      <w:r>
        <w:rPr>
          <w:noProof/>
        </w:rPr>
        <w:lastRenderedPageBreak/>
        <w:drawing>
          <wp:anchor distT="0" distB="0" distL="114300" distR="114300" simplePos="0" relativeHeight="251665408" behindDoc="1" locked="0" layoutInCell="1" allowOverlap="1" wp14:anchorId="03B4C400" wp14:editId="292040C6">
            <wp:simplePos x="0" y="0"/>
            <wp:positionH relativeFrom="column">
              <wp:posOffset>5183505</wp:posOffset>
            </wp:positionH>
            <wp:positionV relativeFrom="paragraph">
              <wp:posOffset>8459470</wp:posOffset>
            </wp:positionV>
            <wp:extent cx="1080000" cy="1080000"/>
            <wp:effectExtent l="0" t="0" r="6350" b="6350"/>
            <wp:wrapNone/>
            <wp:docPr id="11" name="VCAT Seal8"/>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5120A">
        <w:rPr>
          <w:noProof/>
        </w:rPr>
        <w:drawing>
          <wp:inline distT="0" distB="0" distL="0" distR="0" wp14:anchorId="73E8B79D" wp14:editId="4274BF9E">
            <wp:extent cx="4390959" cy="314311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397"/>
                    <a:stretch/>
                  </pic:blipFill>
                  <pic:spPr bwMode="auto">
                    <a:xfrm>
                      <a:off x="0" y="0"/>
                      <a:ext cx="4406182" cy="3154008"/>
                    </a:xfrm>
                    <a:prstGeom prst="rect">
                      <a:avLst/>
                    </a:prstGeom>
                    <a:ln>
                      <a:noFill/>
                    </a:ln>
                    <a:extLst>
                      <a:ext uri="{53640926-AAD7-44D8-BBD7-CCE9431645EC}">
                        <a14:shadowObscured xmlns:a14="http://schemas.microsoft.com/office/drawing/2010/main"/>
                      </a:ext>
                    </a:extLst>
                  </pic:spPr>
                </pic:pic>
              </a:graphicData>
            </a:graphic>
          </wp:inline>
        </w:drawing>
      </w:r>
    </w:p>
    <w:p w14:paraId="4B3343A0" w14:textId="77777777" w:rsidR="004035A0" w:rsidRDefault="004035A0" w:rsidP="00CF4C8D">
      <w:pPr>
        <w:pStyle w:val="Para1"/>
        <w:numPr>
          <w:ilvl w:val="0"/>
          <w:numId w:val="0"/>
        </w:numPr>
        <w:jc w:val="center"/>
      </w:pPr>
    </w:p>
    <w:p w14:paraId="1C644FC9" w14:textId="076877E7" w:rsidR="00DD1029" w:rsidRDefault="0065120A" w:rsidP="00CF4C8D">
      <w:pPr>
        <w:pStyle w:val="Para1"/>
        <w:numPr>
          <w:ilvl w:val="0"/>
          <w:numId w:val="0"/>
        </w:numPr>
        <w:jc w:val="center"/>
      </w:pPr>
      <w:r>
        <w:rPr>
          <w:noProof/>
        </w:rPr>
        <w:drawing>
          <wp:inline distT="0" distB="0" distL="0" distR="0" wp14:anchorId="1627D5A8" wp14:editId="620577B6">
            <wp:extent cx="4417424" cy="32080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4" t="2503" r="1648" b="2564"/>
                    <a:stretch/>
                  </pic:blipFill>
                  <pic:spPr bwMode="auto">
                    <a:xfrm>
                      <a:off x="0" y="0"/>
                      <a:ext cx="4431825" cy="3218478"/>
                    </a:xfrm>
                    <a:prstGeom prst="rect">
                      <a:avLst/>
                    </a:prstGeom>
                    <a:ln>
                      <a:noFill/>
                    </a:ln>
                    <a:extLst>
                      <a:ext uri="{53640926-AAD7-44D8-BBD7-CCE9431645EC}">
                        <a14:shadowObscured xmlns:a14="http://schemas.microsoft.com/office/drawing/2010/main"/>
                      </a:ext>
                    </a:extLst>
                  </pic:spPr>
                </pic:pic>
              </a:graphicData>
            </a:graphic>
          </wp:inline>
        </w:drawing>
      </w:r>
    </w:p>
    <w:p w14:paraId="30ED6D6D" w14:textId="0860DF70" w:rsidR="008F3C87" w:rsidRPr="008F3C87" w:rsidRDefault="0065120A" w:rsidP="00661281">
      <w:pPr>
        <w:pStyle w:val="Para1"/>
      </w:pPr>
      <w:r>
        <w:t>My inspection confirms the varied street tree pattern cited in evidence</w:t>
      </w:r>
      <w:r w:rsidR="00CF4C8D">
        <w:t xml:space="preserve">.  That is, a presence of street trees but with variety in elements such as species, age, size, spacing, </w:t>
      </w:r>
      <w:r w:rsidR="008F3C87">
        <w:t xml:space="preserve">canopy density and extent, and overall </w:t>
      </w:r>
      <w:r w:rsidR="00CF4C8D">
        <w:t>form.</w:t>
      </w:r>
      <w:r w:rsidR="008F3C87">
        <w:t xml:space="preserve">  </w:t>
      </w:r>
      <w:r w:rsidR="0099394D">
        <w:t xml:space="preserve">This is also consistent with the findings in </w:t>
      </w:r>
      <w:r w:rsidR="0099394D" w:rsidRPr="008F3C87">
        <w:rPr>
          <w:i/>
          <w:iCs/>
          <w:color w:val="000000" w:themeColor="text1"/>
          <w:shd w:val="clear" w:color="auto" w:fill="FFFFFF"/>
        </w:rPr>
        <w:t>Thye Hern Lim.</w:t>
      </w:r>
      <w:r w:rsidR="0099394D">
        <w:rPr>
          <w:rStyle w:val="FootnoteReference"/>
          <w:color w:val="000000" w:themeColor="text1"/>
          <w:shd w:val="clear" w:color="auto" w:fill="FFFFFF"/>
        </w:rPr>
        <w:footnoteReference w:id="9"/>
      </w:r>
      <w:r w:rsidR="0099394D" w:rsidRPr="008F3C87">
        <w:rPr>
          <w:i/>
          <w:iCs/>
          <w:color w:val="000000" w:themeColor="text1"/>
          <w:shd w:val="clear" w:color="auto" w:fill="FFFFFF"/>
        </w:rPr>
        <w:t xml:space="preserve"> </w:t>
      </w:r>
    </w:p>
    <w:p w14:paraId="644F70CD" w14:textId="1DD9A2B2" w:rsidR="0099394D" w:rsidRDefault="008F3C87" w:rsidP="00661281">
      <w:pPr>
        <w:pStyle w:val="Para1"/>
      </w:pPr>
      <w:r>
        <w:rPr>
          <w:color w:val="000000" w:themeColor="text1"/>
          <w:shd w:val="clear" w:color="auto" w:fill="FFFFFF"/>
        </w:rPr>
        <w:t>On</w:t>
      </w:r>
      <w:r w:rsidR="0099394D" w:rsidRPr="008F3C87">
        <w:rPr>
          <w:color w:val="000000" w:themeColor="text1"/>
          <w:shd w:val="clear" w:color="auto" w:fill="FFFFFF"/>
        </w:rPr>
        <w:t xml:space="preserve"> my reading of the Tribunal’s decision, the tree </w:t>
      </w:r>
      <w:r w:rsidRPr="008F3C87">
        <w:rPr>
          <w:color w:val="000000" w:themeColor="text1"/>
          <w:shd w:val="clear" w:color="auto" w:fill="FFFFFF"/>
        </w:rPr>
        <w:t xml:space="preserve">in issue (a Weeping </w:t>
      </w:r>
      <w:r w:rsidR="000E184A">
        <w:rPr>
          <w:color w:val="000000" w:themeColor="text1"/>
          <w:shd w:val="clear" w:color="auto" w:fill="FFFFFF"/>
        </w:rPr>
        <w:t>B</w:t>
      </w:r>
      <w:r w:rsidRPr="008F3C87">
        <w:rPr>
          <w:color w:val="000000" w:themeColor="text1"/>
          <w:shd w:val="clear" w:color="auto" w:fill="FFFFFF"/>
        </w:rPr>
        <w:t xml:space="preserve">ottlebrush) </w:t>
      </w:r>
      <w:r w:rsidR="0099394D" w:rsidRPr="008F3C87">
        <w:rPr>
          <w:color w:val="000000" w:themeColor="text1"/>
          <w:shd w:val="clear" w:color="auto" w:fill="FFFFFF"/>
        </w:rPr>
        <w:t xml:space="preserve">was said to have fair to poor structure with a short useful life expectancy and a low retention value. It was said in evidence to likely need to be removed and </w:t>
      </w:r>
      <w:r w:rsidR="00C31D56">
        <w:rPr>
          <w:color w:val="000000" w:themeColor="text1"/>
          <w:shd w:val="clear" w:color="auto" w:fill="FFFFFF"/>
        </w:rPr>
        <w:t xml:space="preserve">was </w:t>
      </w:r>
      <w:r w:rsidR="0099394D" w:rsidRPr="008F3C87">
        <w:rPr>
          <w:color w:val="000000" w:themeColor="text1"/>
          <w:shd w:val="clear" w:color="auto" w:fill="FFFFFF"/>
        </w:rPr>
        <w:t xml:space="preserve">described by the Tribunal </w:t>
      </w:r>
      <w:r w:rsidR="00253C26">
        <w:rPr>
          <w:color w:val="000000" w:themeColor="text1"/>
          <w:shd w:val="clear" w:color="auto" w:fill="FFFFFF"/>
        </w:rPr>
        <w:t>as</w:t>
      </w:r>
      <w:r w:rsidR="0099394D" w:rsidRPr="008F3C87">
        <w:rPr>
          <w:color w:val="000000" w:themeColor="text1"/>
          <w:shd w:val="clear" w:color="auto" w:fill="FFFFFF"/>
        </w:rPr>
        <w:t xml:space="preserve"> having little intrinsic value and little contribution to the streetscape.</w:t>
      </w:r>
      <w:r w:rsidR="0099394D" w:rsidRPr="008F3C87">
        <w:rPr>
          <w:i/>
          <w:iCs/>
          <w:color w:val="000000" w:themeColor="text1"/>
          <w:shd w:val="clear" w:color="auto" w:fill="FFFFFF"/>
        </w:rPr>
        <w:t xml:space="preserve">  </w:t>
      </w:r>
      <w:r w:rsidR="0099394D" w:rsidRPr="008F3C87">
        <w:rPr>
          <w:color w:val="000000" w:themeColor="text1"/>
          <w:shd w:val="clear" w:color="auto" w:fill="FFFFFF"/>
        </w:rPr>
        <w:t xml:space="preserve">Based on the evidence before me, the </w:t>
      </w:r>
      <w:r>
        <w:rPr>
          <w:color w:val="000000" w:themeColor="text1"/>
          <w:shd w:val="clear" w:color="auto" w:fill="FFFFFF"/>
        </w:rPr>
        <w:t>Snow Gum</w:t>
      </w:r>
      <w:r w:rsidR="0099394D" w:rsidRPr="008F3C87">
        <w:rPr>
          <w:color w:val="000000" w:themeColor="text1"/>
          <w:shd w:val="clear" w:color="auto" w:fill="FFFFFF"/>
        </w:rPr>
        <w:t xml:space="preserve"> is not similarly fragile. It is clear to me that </w:t>
      </w:r>
      <w:r w:rsidR="00253C26">
        <w:rPr>
          <w:color w:val="000000" w:themeColor="text1"/>
          <w:shd w:val="clear" w:color="auto" w:fill="FFFFFF"/>
        </w:rPr>
        <w:t xml:space="preserve">the </w:t>
      </w:r>
      <w:r>
        <w:rPr>
          <w:color w:val="000000" w:themeColor="text1"/>
          <w:shd w:val="clear" w:color="auto" w:fill="FFFFFF"/>
        </w:rPr>
        <w:t>Snow Gum</w:t>
      </w:r>
      <w:r w:rsidRPr="008F3C87">
        <w:rPr>
          <w:color w:val="000000" w:themeColor="text1"/>
          <w:shd w:val="clear" w:color="auto" w:fill="FFFFFF"/>
        </w:rPr>
        <w:t xml:space="preserve"> </w:t>
      </w:r>
      <w:r w:rsidR="0099394D" w:rsidRPr="008F3C87">
        <w:rPr>
          <w:color w:val="000000" w:themeColor="text1"/>
          <w:shd w:val="clear" w:color="auto" w:fill="FFFFFF"/>
        </w:rPr>
        <w:t xml:space="preserve">makes a </w:t>
      </w:r>
      <w:r>
        <w:rPr>
          <w:color w:val="000000" w:themeColor="text1"/>
          <w:shd w:val="clear" w:color="auto" w:fill="FFFFFF"/>
        </w:rPr>
        <w:t xml:space="preserve">positive </w:t>
      </w:r>
      <w:r w:rsidR="0099394D" w:rsidRPr="008F3C87">
        <w:rPr>
          <w:color w:val="000000" w:themeColor="text1"/>
          <w:shd w:val="clear" w:color="auto" w:fill="FFFFFF"/>
        </w:rPr>
        <w:t xml:space="preserve">streetscape contribution and there is no reason </w:t>
      </w:r>
      <w:r w:rsidR="007C574A">
        <w:rPr>
          <w:noProof/>
          <w:color w:val="000000" w:themeColor="text1"/>
          <w:shd w:val="clear" w:color="auto" w:fill="FFFFFF"/>
        </w:rPr>
        <w:lastRenderedPageBreak/>
        <w:drawing>
          <wp:anchor distT="0" distB="0" distL="114300" distR="114300" simplePos="0" relativeHeight="251666432" behindDoc="1" locked="0" layoutInCell="1" allowOverlap="1" wp14:anchorId="41434EF8" wp14:editId="3E023499">
            <wp:simplePos x="0" y="0"/>
            <wp:positionH relativeFrom="column">
              <wp:posOffset>5183505</wp:posOffset>
            </wp:positionH>
            <wp:positionV relativeFrom="paragraph">
              <wp:posOffset>8459470</wp:posOffset>
            </wp:positionV>
            <wp:extent cx="1080000" cy="1080000"/>
            <wp:effectExtent l="0" t="0" r="6350" b="6350"/>
            <wp:wrapNone/>
            <wp:docPr id="12" name="VCAT Seal9"/>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9394D" w:rsidRPr="008F3C87">
        <w:rPr>
          <w:color w:val="000000" w:themeColor="text1"/>
          <w:shd w:val="clear" w:color="auto" w:fill="FFFFFF"/>
        </w:rPr>
        <w:t>to determine that it will not continue to do so</w:t>
      </w:r>
      <w:r>
        <w:rPr>
          <w:color w:val="000000" w:themeColor="text1"/>
          <w:shd w:val="clear" w:color="auto" w:fill="FFFFFF"/>
        </w:rPr>
        <w:t xml:space="preserve"> - and</w:t>
      </w:r>
      <w:r w:rsidR="0099394D" w:rsidRPr="008F3C87">
        <w:rPr>
          <w:color w:val="000000" w:themeColor="text1"/>
          <w:shd w:val="clear" w:color="auto" w:fill="FFFFFF"/>
        </w:rPr>
        <w:t xml:space="preserve"> increasingly so as it continues to grow.</w:t>
      </w:r>
    </w:p>
    <w:p w14:paraId="78CFC301" w14:textId="79EE33C3" w:rsidR="00E33DAD" w:rsidRDefault="00E33DAD" w:rsidP="00FC78BD">
      <w:pPr>
        <w:pStyle w:val="Para1"/>
      </w:pPr>
      <w:r>
        <w:t xml:space="preserve">The description and arboricultural assessments of the </w:t>
      </w:r>
      <w:r w:rsidR="008F3C87">
        <w:rPr>
          <w:color w:val="000000" w:themeColor="text1"/>
          <w:shd w:val="clear" w:color="auto" w:fill="FFFFFF"/>
        </w:rPr>
        <w:t>Snow Gum</w:t>
      </w:r>
      <w:r w:rsidR="008F3C87" w:rsidRPr="008F3C87">
        <w:rPr>
          <w:color w:val="000000" w:themeColor="text1"/>
          <w:shd w:val="clear" w:color="auto" w:fill="FFFFFF"/>
        </w:rPr>
        <w:t xml:space="preserve"> </w:t>
      </w:r>
      <w:r>
        <w:t>between the Council’s internal referral and in Mr Nees’ evidence are consistent and there are no challenges to descriptions given in expert evidence.  Mr Nees’ assessment includes the following:</w:t>
      </w:r>
      <w:r>
        <w:rPr>
          <w:rStyle w:val="FootnoteReference"/>
        </w:rPr>
        <w:footnoteReference w:id="10"/>
      </w:r>
    </w:p>
    <w:p w14:paraId="237CC8F6" w14:textId="55DE4AA1" w:rsidR="00E33DAD" w:rsidRDefault="001303B2" w:rsidP="00E33DAD">
      <w:pPr>
        <w:pStyle w:val="Quote1"/>
      </w:pPr>
      <w:r>
        <w:t>The recent site assessment indicated that the Acute bifurcated stem union or formation appears to be developing in a satisfactory way and the likelihood of failure as the tree develops in my opinion, is not great.</w:t>
      </w:r>
    </w:p>
    <w:p w14:paraId="4BE1E59E" w14:textId="18EF9DC6" w:rsidR="001303B2" w:rsidRDefault="001303B2" w:rsidP="00E33DAD">
      <w:pPr>
        <w:pStyle w:val="Quote1"/>
      </w:pPr>
      <w:r>
        <w:t>The stem and structure of the Snow</w:t>
      </w:r>
      <w:r w:rsidR="0099394D">
        <w:t xml:space="preserve"> Gum</w:t>
      </w:r>
      <w:r>
        <w:t xml:space="preserve"> can be described as stout and structurally sound with a moderate level of foliage density. It appears to be in good/fair health with a moderate level of vigour and a useful life expectancy greater than 20 years.</w:t>
      </w:r>
    </w:p>
    <w:p w14:paraId="1825B429" w14:textId="14EEB537" w:rsidR="00E33DAD" w:rsidRDefault="00E33DAD" w:rsidP="00FC78BD">
      <w:pPr>
        <w:pStyle w:val="Para1"/>
      </w:pPr>
      <w:r>
        <w:t xml:space="preserve">In response to my questions, </w:t>
      </w:r>
      <w:r w:rsidR="001303B2">
        <w:t>Mr Nees’</w:t>
      </w:r>
      <w:r>
        <w:t xml:space="preserve"> evidence is that the tree is currently approximately 7 to 8 metres high and 5 metres wide today. It is approximately 15 years old.</w:t>
      </w:r>
      <w:r w:rsidR="001303B2">
        <w:t xml:space="preserve"> Mr Nees’ opinion is that the Snow Gum has the</w:t>
      </w:r>
      <w:r>
        <w:t xml:space="preserve"> potential to grow to approximately 12 metres in height and 10 metres in width.</w:t>
      </w:r>
      <w:r w:rsidR="001303B2">
        <w:t xml:space="preserve"> </w:t>
      </w:r>
    </w:p>
    <w:p w14:paraId="61D3C944" w14:textId="534BEDD8" w:rsidR="008F3C87" w:rsidRDefault="008F3C87" w:rsidP="008F3C87">
      <w:pPr>
        <w:pStyle w:val="Para1"/>
      </w:pPr>
      <w:r>
        <w:t xml:space="preserve">Mr Nees described the shape and form of the tree as typical of the species. Its irregular form does not reflect a structural fault.  Having regard to my inspection which included streets in the near and wider area, </w:t>
      </w:r>
      <w:r w:rsidR="00253C26">
        <w:t xml:space="preserve">at the hearing </w:t>
      </w:r>
      <w:r>
        <w:t>I observed that the Snow Gum in question is not distinguished from many other Eucalypt species planted in nearby streets that also have irregular form.  Mr Nees agreed with my observation. His evidence also notes that the species is not a commonly used street tree.</w:t>
      </w:r>
    </w:p>
    <w:p w14:paraId="24AABDEC" w14:textId="4DAD2B5C" w:rsidR="000E37F3" w:rsidRDefault="000E37F3" w:rsidP="00FC78BD">
      <w:pPr>
        <w:pStyle w:val="Para1"/>
      </w:pPr>
      <w:r>
        <w:t xml:space="preserve">Mr Nees evidence does not assess street tree planting from the perspective of the planning scheme provisions and policies. </w:t>
      </w:r>
      <w:r w:rsidR="008F3C87">
        <w:t xml:space="preserve"> His evidence does not assess a landscape or streetscape contribution, in amenity terms.</w:t>
      </w:r>
    </w:p>
    <w:p w14:paraId="2A572874" w14:textId="4625DF00" w:rsidR="004035A0" w:rsidRDefault="008F3C87" w:rsidP="004035A0">
      <w:pPr>
        <w:pStyle w:val="Para1"/>
      </w:pPr>
      <w:r>
        <w:t xml:space="preserve">I agree with Mr Turner that the scheme does not distinguish between street trees that are part of a more consistent planting pattern and species theme compared with the more eclectic situation here.  In my view there is a strong policy position to retain and protect street trees, particularly where they are healthy and make an evident contribution.  For example, clause 22.05 states that it is important to ensure that </w:t>
      </w:r>
      <w:r w:rsidR="00C31D56">
        <w:t xml:space="preserve">(among others) </w:t>
      </w:r>
      <w:r>
        <w:t>trees that have been planted and have now matured are retained, where possible, when devel</w:t>
      </w:r>
      <w:bookmarkStart w:id="11" w:name="_GoBack"/>
      <w:bookmarkEnd w:id="11"/>
      <w:r>
        <w:t>opment proceeds and that new canopy trees with spreading crowns can be planted as part of all new developments.</w:t>
      </w:r>
    </w:p>
    <w:p w14:paraId="7D5139B3" w14:textId="35E5187F" w:rsidR="008F3C87" w:rsidRDefault="008F3C87" w:rsidP="00FC78BD">
      <w:pPr>
        <w:pStyle w:val="Para1"/>
      </w:pPr>
      <w:r>
        <w:t xml:space="preserve">I accept that a new street tree is potentially possible further to the north of the subject land. However, that does not justify removal of a street tree of this size, condition, health, and with its </w:t>
      </w:r>
      <w:r w:rsidR="00253C26">
        <w:t xml:space="preserve">expected growth and </w:t>
      </w:r>
      <w:r>
        <w:t>longevity</w:t>
      </w:r>
      <w:r w:rsidR="00253C26">
        <w:t>,</w:t>
      </w:r>
      <w:r>
        <w:t xml:space="preserve"> mindful that there are other ways in which the subject land can be developed with two dwellings thereby contributing to housing goals. </w:t>
      </w:r>
    </w:p>
    <w:p w14:paraId="0571DC56" w14:textId="62076871" w:rsidR="00AD58B6" w:rsidRDefault="007C574A" w:rsidP="00FC78BD">
      <w:pPr>
        <w:pStyle w:val="Para1"/>
      </w:pPr>
      <w:r>
        <w:rPr>
          <w:noProof/>
        </w:rPr>
        <w:lastRenderedPageBreak/>
        <w:drawing>
          <wp:anchor distT="0" distB="0" distL="114300" distR="114300" simplePos="0" relativeHeight="251667456" behindDoc="1" locked="0" layoutInCell="1" allowOverlap="1" wp14:anchorId="513E93E3" wp14:editId="3C2B1CD6">
            <wp:simplePos x="0" y="0"/>
            <wp:positionH relativeFrom="column">
              <wp:posOffset>5183505</wp:posOffset>
            </wp:positionH>
            <wp:positionV relativeFrom="paragraph">
              <wp:posOffset>8459470</wp:posOffset>
            </wp:positionV>
            <wp:extent cx="1080000" cy="1080000"/>
            <wp:effectExtent l="0" t="0" r="6350" b="6350"/>
            <wp:wrapNone/>
            <wp:docPr id="13" name="VCAT Seal10"/>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9394D">
        <w:t xml:space="preserve">In </w:t>
      </w:r>
      <w:r w:rsidR="0099394D" w:rsidRPr="00FD483D">
        <w:rPr>
          <w:i/>
          <w:iCs/>
        </w:rPr>
        <w:t>Thye Hern Lim</w:t>
      </w:r>
      <w:r w:rsidR="0099394D" w:rsidRPr="000E184A">
        <w:rPr>
          <w:rStyle w:val="FootnoteReference"/>
        </w:rPr>
        <w:footnoteReference w:id="11"/>
      </w:r>
      <w:r w:rsidR="0099394D">
        <w:rPr>
          <w:i/>
          <w:iCs/>
        </w:rPr>
        <w:t xml:space="preserve"> </w:t>
      </w:r>
      <w:r w:rsidR="0099394D" w:rsidRPr="0099394D">
        <w:t xml:space="preserve">the Tribunal formed the view that removal and replacement of </w:t>
      </w:r>
      <w:r w:rsidR="000E184A">
        <w:t>a</w:t>
      </w:r>
      <w:r w:rsidR="0099394D" w:rsidRPr="0099394D">
        <w:t xml:space="preserve"> street tree was a minor change that was outweighed by the contribution to contemporary dwellings could make </w:t>
      </w:r>
      <w:r w:rsidR="000E184A">
        <w:t>to</w:t>
      </w:r>
      <w:r w:rsidR="0099394D" w:rsidRPr="0099394D">
        <w:t xml:space="preserve"> broad planning objectives</w:t>
      </w:r>
      <w:r w:rsidR="000E184A">
        <w:t xml:space="preserve">.  It also found that </w:t>
      </w:r>
      <w:r w:rsidR="0099394D" w:rsidRPr="0099394D">
        <w:t xml:space="preserve">the street tree could readily be replaced.  Having regard to the current planning scheme context, </w:t>
      </w:r>
      <w:r w:rsidR="00C31D56">
        <w:t xml:space="preserve">and </w:t>
      </w:r>
      <w:r w:rsidR="0099394D" w:rsidRPr="0099394D">
        <w:t>the condition and contribution to Snow Gum makes, I do not reach the same conclusion</w:t>
      </w:r>
      <w:r w:rsidR="00C31D56">
        <w:t xml:space="preserve"> in the circumstances of the proceeding before me</w:t>
      </w:r>
      <w:r w:rsidR="0099394D" w:rsidRPr="0099394D">
        <w:t>.</w:t>
      </w:r>
    </w:p>
    <w:p w14:paraId="0DED8AAD" w14:textId="7600B8EB" w:rsidR="00C75C45" w:rsidRDefault="005E3FD4" w:rsidP="00FC78BD">
      <w:pPr>
        <w:pStyle w:val="Para1"/>
      </w:pPr>
      <w:r>
        <w:t xml:space="preserve">I make no findings with respect to the </w:t>
      </w:r>
      <w:r w:rsidR="00253C26">
        <w:t>Hakea</w:t>
      </w:r>
      <w:r>
        <w:t xml:space="preserve"> which is not proposed to be removed in this permit application.</w:t>
      </w:r>
    </w:p>
    <w:p w14:paraId="1BBBB845" w14:textId="50F9AC44" w:rsidR="00B25508" w:rsidRPr="00F91743" w:rsidRDefault="00E40951" w:rsidP="00B25508">
      <w:pPr>
        <w:pStyle w:val="Heading2"/>
        <w:rPr>
          <w:sz w:val="22"/>
          <w:szCs w:val="22"/>
          <w:lang w:eastAsia="en-AU"/>
        </w:rPr>
      </w:pPr>
      <w:r>
        <w:t xml:space="preserve">SIDE-BY-SIDE FORMAT AND </w:t>
      </w:r>
      <w:r w:rsidR="00313D2B">
        <w:t>BOUNDARY DEVELOPMENT</w:t>
      </w:r>
    </w:p>
    <w:p w14:paraId="25F4704E" w14:textId="77777777" w:rsidR="0083552E" w:rsidRDefault="0083552E" w:rsidP="0083552E">
      <w:pPr>
        <w:pStyle w:val="Heading3"/>
      </w:pPr>
      <w:r>
        <w:t>Issues</w:t>
      </w:r>
    </w:p>
    <w:p w14:paraId="3E4474B3" w14:textId="5DF9E069" w:rsidR="00CC66E9" w:rsidRDefault="00C31C66" w:rsidP="00CB000A">
      <w:pPr>
        <w:pStyle w:val="Para1"/>
      </w:pPr>
      <w:r>
        <w:t xml:space="preserve">The </w:t>
      </w:r>
      <w:r w:rsidR="005004E4">
        <w:t xml:space="preserve">Council submits that </w:t>
      </w:r>
      <w:r w:rsidR="00CC66E9">
        <w:t xml:space="preserve">the 18.29 metre wide frontage of the site cannot comfortably accommodate two driveways without adversely impacting on the landscaping capacity of the site, </w:t>
      </w:r>
      <w:r w:rsidR="000E184A">
        <w:t xml:space="preserve">the </w:t>
      </w:r>
      <w:r w:rsidR="00CC66E9">
        <w:t xml:space="preserve">landscape character of the surrounding area and </w:t>
      </w:r>
      <w:r w:rsidR="000E184A">
        <w:t xml:space="preserve">the </w:t>
      </w:r>
      <w:r w:rsidR="00CC66E9">
        <w:t>retention of street trees.</w:t>
      </w:r>
    </w:p>
    <w:p w14:paraId="4D221083" w14:textId="00DDC644" w:rsidR="005004E4" w:rsidRDefault="00CC66E9" w:rsidP="00CB000A">
      <w:pPr>
        <w:pStyle w:val="Para1"/>
      </w:pPr>
      <w:r>
        <w:t xml:space="preserve">The Council submits that boundary </w:t>
      </w:r>
      <w:r w:rsidR="005004E4">
        <w:t>to boundary development is out of character for the area, as most of the redeveloped sites are in tandem formation and do not extend across the whole site. Mr Turner submits that the rhythm and massing of the development is inconsistent with policy, and is an intense response to the built form. He submits the proposal represents a significant departure from the pattern of development which generally comprises dwellings set in well landscaped gardens</w:t>
      </w:r>
      <w:r w:rsidR="00253C26">
        <w:t>.  T</w:t>
      </w:r>
      <w:r w:rsidR="005004E4">
        <w:t>he issue is not about two stor</w:t>
      </w:r>
      <w:r w:rsidR="00253C26">
        <w:t>e</w:t>
      </w:r>
      <w:r w:rsidR="005004E4">
        <w:t xml:space="preserve">y form, </w:t>
      </w:r>
      <w:r w:rsidR="00253C26">
        <w:t xml:space="preserve">he says, </w:t>
      </w:r>
      <w:r w:rsidR="005004E4">
        <w:t>but the configuration of the layout selected in this design response.</w:t>
      </w:r>
    </w:p>
    <w:p w14:paraId="2F0EAF48" w14:textId="1ECEA024" w:rsidR="00313D2B" w:rsidRDefault="00414B23" w:rsidP="00501403">
      <w:pPr>
        <w:pStyle w:val="Para1"/>
      </w:pPr>
      <w:r>
        <w:t>In response, t</w:t>
      </w:r>
      <w:r w:rsidR="00FA087A">
        <w:t>he applicant</w:t>
      </w:r>
      <w:r w:rsidR="00FB472A">
        <w:t>s</w:t>
      </w:r>
      <w:r w:rsidR="00FA087A">
        <w:t xml:space="preserve"> </w:t>
      </w:r>
      <w:r w:rsidR="005004E4">
        <w:t>submit that the side-by-side layout is acceptable</w:t>
      </w:r>
      <w:r w:rsidR="00EA5DB5">
        <w:t xml:space="preserve"> having regard to multiple contextual factors:</w:t>
      </w:r>
    </w:p>
    <w:p w14:paraId="2961A154" w14:textId="58EA06E9" w:rsidR="005C03E6" w:rsidRDefault="005C03E6" w:rsidP="005C03E6">
      <w:pPr>
        <w:pStyle w:val="Quote3"/>
      </w:pPr>
      <w:r>
        <w:t xml:space="preserve">The neighbours are setback 6.0m and 6.8m. B6 would normally call for a 6.4m front setback. </w:t>
      </w:r>
      <w:r w:rsidR="00A13762">
        <w:t>GRZ-3</w:t>
      </w:r>
      <w:r>
        <w:t xml:space="preserve"> </w:t>
      </w:r>
      <w:r w:rsidR="00A13762">
        <w:t>calls for</w:t>
      </w:r>
      <w:r>
        <w:t xml:space="preserve"> 7.6m.</w:t>
      </w:r>
    </w:p>
    <w:p w14:paraId="38238371" w14:textId="77777777" w:rsidR="005C03E6" w:rsidRDefault="005C03E6" w:rsidP="005C03E6">
      <w:pPr>
        <w:pStyle w:val="Quote3"/>
      </w:pPr>
      <w:r>
        <w:t>The proposal exceeds a 7.6 m requirement…. The front garden will therefore be notably deeper than both neighbours.</w:t>
      </w:r>
    </w:p>
    <w:p w14:paraId="6704D99F" w14:textId="110334ED" w:rsidR="005C03E6" w:rsidRDefault="005C03E6" w:rsidP="005C03E6">
      <w:pPr>
        <w:pStyle w:val="Quote3"/>
      </w:pPr>
      <w:r>
        <w:t>The 18.29 m frontage allows the layout to provide 11 m</w:t>
      </w:r>
      <w:r w:rsidR="00A13762">
        <w:t xml:space="preserve">+ </w:t>
      </w:r>
      <w:r>
        <w:t>between the driveways, with more than 7.6 m depth, providing a generous central front garden area suitable for two front yard trees.</w:t>
      </w:r>
    </w:p>
    <w:p w14:paraId="0A23634E" w14:textId="43121A99" w:rsidR="005C03E6" w:rsidRDefault="005C03E6" w:rsidP="005C03E6">
      <w:pPr>
        <w:pStyle w:val="Quote3"/>
      </w:pPr>
      <w:r>
        <w:t>The layout also provides for small gardens along each driveway edge and the 8m deep rear yards provide generous garden areas with for new trees proposed.</w:t>
      </w:r>
    </w:p>
    <w:p w14:paraId="796D2DB5" w14:textId="3138856E" w:rsidR="00EA5DB5" w:rsidRDefault="005C03E6" w:rsidP="005C03E6">
      <w:pPr>
        <w:pStyle w:val="Quote3"/>
      </w:pPr>
      <w:r>
        <w:t>… The various assessment factors considered, balanced and found to be acceptable in 2 Glenora and 166 Power are also provided in this proposal.</w:t>
      </w:r>
    </w:p>
    <w:p w14:paraId="4C688C54" w14:textId="19B08E41" w:rsidR="00313D2B" w:rsidRDefault="00A13762" w:rsidP="00501403">
      <w:pPr>
        <w:pStyle w:val="Para1"/>
      </w:pPr>
      <w:r>
        <w:t>The applicant</w:t>
      </w:r>
      <w:r w:rsidR="00FB472A">
        <w:t>s</w:t>
      </w:r>
      <w:r>
        <w:t xml:space="preserve"> submit the Council does not support both garages on boundaries and would prefer one garage set off a site boundary. There is no </w:t>
      </w:r>
      <w:r w:rsidR="007C574A">
        <w:rPr>
          <w:noProof/>
        </w:rPr>
        <w:lastRenderedPageBreak/>
        <w:drawing>
          <wp:anchor distT="0" distB="0" distL="114300" distR="114300" simplePos="0" relativeHeight="251668480" behindDoc="1" locked="0" layoutInCell="1" allowOverlap="1" wp14:anchorId="254E0D3C" wp14:editId="3CC99559">
            <wp:simplePos x="0" y="0"/>
            <wp:positionH relativeFrom="column">
              <wp:posOffset>5183505</wp:posOffset>
            </wp:positionH>
            <wp:positionV relativeFrom="paragraph">
              <wp:posOffset>8459470</wp:posOffset>
            </wp:positionV>
            <wp:extent cx="1080000" cy="1080000"/>
            <wp:effectExtent l="0" t="0" r="6350" b="6350"/>
            <wp:wrapNone/>
            <wp:docPr id="14" name="VCAT Seal1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preference as to which side, rather it is a generalised preference. The applicant</w:t>
      </w:r>
      <w:r w:rsidR="00FB472A">
        <w:t>s</w:t>
      </w:r>
      <w:r>
        <w:t xml:space="preserve"> submit that there are many side-by-side layouts with one garage offset from a boundary with the intent to maintain a streetscape rhythm of dwelling separation. Mr Mackenzie relies on the fact that both abutting sites have been redeveloped with driveways along the boundary with the subject land. Consequently, 3 to 4 m</w:t>
      </w:r>
      <w:r w:rsidR="00253C26">
        <w:t>etres</w:t>
      </w:r>
      <w:r>
        <w:t xml:space="preserve"> built form separation is achieved. Having said that, </w:t>
      </w:r>
      <w:r w:rsidR="00253C26">
        <w:t>Mr Mackenzie</w:t>
      </w:r>
      <w:r>
        <w:t xml:space="preserve"> submits that a permit could require a </w:t>
      </w:r>
      <w:r w:rsidR="00E40951">
        <w:t>one metre</w:t>
      </w:r>
      <w:r>
        <w:t xml:space="preserve"> setback of </w:t>
      </w:r>
      <w:r w:rsidR="00E40951">
        <w:t xml:space="preserve">Dwelling 1 </w:t>
      </w:r>
      <w:r>
        <w:t>from its boundary without adversely altering the cohesion of the design or internal functionality.</w:t>
      </w:r>
    </w:p>
    <w:p w14:paraId="0B190F77" w14:textId="10FE9060" w:rsidR="0083552E" w:rsidRDefault="0083552E" w:rsidP="0083552E">
      <w:pPr>
        <w:pStyle w:val="Heading3"/>
      </w:pPr>
      <w:r>
        <w:t>Findings</w:t>
      </w:r>
    </w:p>
    <w:p w14:paraId="1D4BB8F2" w14:textId="5F4BFE24" w:rsidR="00EE2DC8" w:rsidRDefault="00E40951" w:rsidP="0083552E">
      <w:pPr>
        <w:pStyle w:val="Para1"/>
      </w:pPr>
      <w:r>
        <w:t xml:space="preserve">Design responses involving side-by-side dwellings for sites in Monash have been the subject of many decisions by the Tribunal.  They have often been contentious because policy has sought to limit vehicle crossovers to one. The two decisions to which Mr Mackenzie refers (and other examples he has photographed) involve wider lots, in the order of 19 and 20 metres, contrasting with many lots found in the municipality that are </w:t>
      </w:r>
      <w:r w:rsidR="00094832">
        <w:t>around 15-16 metres</w:t>
      </w:r>
      <w:r>
        <w:t xml:space="preserve"> wide. </w:t>
      </w:r>
    </w:p>
    <w:p w14:paraId="732682B6" w14:textId="77777777" w:rsidR="00094832" w:rsidRPr="00094832" w:rsidRDefault="00094832" w:rsidP="00094832">
      <w:pPr>
        <w:pStyle w:val="Para1"/>
        <w:rPr>
          <w:color w:val="000000" w:themeColor="text1"/>
        </w:rPr>
      </w:pPr>
      <w:r w:rsidRPr="00094832">
        <w:rPr>
          <w:color w:val="000000" w:themeColor="text1"/>
          <w:shd w:val="clear" w:color="auto" w:fill="FFFFFF"/>
        </w:rPr>
        <w:t xml:space="preserve">The Council’s position </w:t>
      </w:r>
      <w:r>
        <w:rPr>
          <w:color w:val="000000" w:themeColor="text1"/>
          <w:shd w:val="clear" w:color="auto" w:fill="FFFFFF"/>
        </w:rPr>
        <w:t>is based on objectives about enhancing the G</w:t>
      </w:r>
      <w:r w:rsidRPr="00094832">
        <w:rPr>
          <w:color w:val="000000" w:themeColor="text1"/>
          <w:shd w:val="clear" w:color="auto" w:fill="FFFFFF"/>
        </w:rPr>
        <w:t xml:space="preserve">arden </w:t>
      </w:r>
      <w:r>
        <w:rPr>
          <w:color w:val="000000" w:themeColor="text1"/>
          <w:shd w:val="clear" w:color="auto" w:fill="FFFFFF"/>
        </w:rPr>
        <w:t>C</w:t>
      </w:r>
      <w:r w:rsidRPr="00094832">
        <w:rPr>
          <w:color w:val="000000" w:themeColor="text1"/>
          <w:shd w:val="clear" w:color="auto" w:fill="FFFFFF"/>
        </w:rPr>
        <w:t>ity character, maximising opportunities for landscaping and maintaining the provision of on</w:t>
      </w:r>
      <w:r>
        <w:rPr>
          <w:color w:val="000000" w:themeColor="text1"/>
          <w:shd w:val="clear" w:color="auto" w:fill="FFFFFF"/>
        </w:rPr>
        <w:t>-</w:t>
      </w:r>
      <w:r w:rsidRPr="00094832">
        <w:rPr>
          <w:color w:val="000000" w:themeColor="text1"/>
          <w:shd w:val="clear" w:color="auto" w:fill="FFFFFF"/>
        </w:rPr>
        <w:t>street parking.</w:t>
      </w:r>
    </w:p>
    <w:p w14:paraId="1A4DF0AE" w14:textId="2F8A7BAB" w:rsidR="00E40951" w:rsidRPr="00094832" w:rsidRDefault="00EE2DC8" w:rsidP="0083552E">
      <w:pPr>
        <w:pStyle w:val="Para1"/>
        <w:rPr>
          <w:color w:val="000000" w:themeColor="text1"/>
        </w:rPr>
      </w:pPr>
      <w:r>
        <w:t xml:space="preserve">Despite the lot pattern in the Moorong Street, and nearby streets, involving lots that appear to be of a similar width </w:t>
      </w:r>
      <w:r w:rsidR="000E184A">
        <w:t>as</w:t>
      </w:r>
      <w:r>
        <w:t xml:space="preserve"> the subject land, the predominant character of multi-unit development is a tandem format.  This does not mean that that is the only format that can be approved, however, it </w:t>
      </w:r>
      <w:r w:rsidRPr="00094832">
        <w:rPr>
          <w:color w:val="000000" w:themeColor="text1"/>
        </w:rPr>
        <w:t>is a factor in understanding existing pattern of development.</w:t>
      </w:r>
    </w:p>
    <w:p w14:paraId="5C033C2F" w14:textId="3B809EB9" w:rsidR="00EE2DC8" w:rsidRDefault="00EE2DC8" w:rsidP="0083552E">
      <w:pPr>
        <w:pStyle w:val="Para1"/>
      </w:pPr>
      <w:r>
        <w:t>Submissions outlining some of the benefits of a side-by-side format, also cited in the Glenora Street decision,</w:t>
      </w:r>
      <w:r w:rsidR="00976325">
        <w:rPr>
          <w:rStyle w:val="FootnoteReference"/>
        </w:rPr>
        <w:footnoteReference w:id="12"/>
      </w:r>
      <w:r>
        <w:t xml:space="preserve"> must be considered in the context of the specific circumstances of a site. For example, a common criticism of tandem layouts is that </w:t>
      </w:r>
      <w:r w:rsidR="00253C26">
        <w:t>they</w:t>
      </w:r>
      <w:r>
        <w:t xml:space="preserve"> might place two stor</w:t>
      </w:r>
      <w:r w:rsidR="00253C26">
        <w:t>e</w:t>
      </w:r>
      <w:r>
        <w:t>y built form close to the rear boundary. In the current case, the subject land is surrounded by dwellings in a tandem format</w:t>
      </w:r>
      <w:r w:rsidR="00253C26">
        <w:t xml:space="preserve">.  This means </w:t>
      </w:r>
      <w:r>
        <w:t xml:space="preserve">that there </w:t>
      </w:r>
      <w:r w:rsidR="000E184A">
        <w:t xml:space="preserve">is </w:t>
      </w:r>
      <w:r>
        <w:t xml:space="preserve">already development </w:t>
      </w:r>
      <w:r w:rsidR="00253C26">
        <w:t>in</w:t>
      </w:r>
      <w:r>
        <w:t xml:space="preserve"> what previously </w:t>
      </w:r>
      <w:r w:rsidR="00253C26">
        <w:t>would have</w:t>
      </w:r>
      <w:r>
        <w:t xml:space="preserve"> a rear yard context</w:t>
      </w:r>
      <w:r w:rsidR="00253C26">
        <w:t xml:space="preserve"> but also that</w:t>
      </w:r>
      <w:r>
        <w:t xml:space="preserve"> there are less-sensitive interfaces associated with driveways on all adjacent sites.</w:t>
      </w:r>
    </w:p>
    <w:p w14:paraId="1F91939E" w14:textId="106DC61B" w:rsidR="00313D2B" w:rsidRDefault="00E02248" w:rsidP="0083552E">
      <w:pPr>
        <w:pStyle w:val="Para1"/>
      </w:pPr>
      <w:r>
        <w:t>I have earlier observed that the pattern of development associated with original dwelling stock and new multi-unit developments is predominantly, albeit not exclusively, involv</w:t>
      </w:r>
      <w:r w:rsidR="00253C26">
        <w:t>es</w:t>
      </w:r>
      <w:r>
        <w:t xml:space="preserve"> a side setback. This might be achieved by a driveway or by setting back a building. There is an eviden</w:t>
      </w:r>
      <w:r w:rsidR="000A432B">
        <w:t>t</w:t>
      </w:r>
      <w:r>
        <w:t xml:space="preserve"> pattern of </w:t>
      </w:r>
      <w:r w:rsidR="007C574A">
        <w:rPr>
          <w:noProof/>
        </w:rPr>
        <w:lastRenderedPageBreak/>
        <w:drawing>
          <wp:anchor distT="0" distB="0" distL="114300" distR="114300" simplePos="0" relativeHeight="251669504" behindDoc="1" locked="0" layoutInCell="1" allowOverlap="1" wp14:anchorId="5E55B66D" wp14:editId="1999AFE0">
            <wp:simplePos x="0" y="0"/>
            <wp:positionH relativeFrom="column">
              <wp:posOffset>5183505</wp:posOffset>
            </wp:positionH>
            <wp:positionV relativeFrom="paragraph">
              <wp:posOffset>8459470</wp:posOffset>
            </wp:positionV>
            <wp:extent cx="1080000" cy="1080000"/>
            <wp:effectExtent l="0" t="0" r="6350" b="6350"/>
            <wp:wrapNone/>
            <wp:docPr id="15" name="VCAT Seal12"/>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spacing</w:t>
      </w:r>
      <w:r w:rsidR="000A432B">
        <w:t xml:space="preserve"> in this location.  In addition, the </w:t>
      </w:r>
      <w:r>
        <w:t xml:space="preserve">preferred character </w:t>
      </w:r>
      <w:r w:rsidR="000A432B">
        <w:t>statement</w:t>
      </w:r>
      <w:r>
        <w:t xml:space="preserve"> includes new development complementing established buildings through consistent siting.</w:t>
      </w:r>
      <w:r w:rsidR="004B036A">
        <w:rPr>
          <w:rStyle w:val="FootnoteReference"/>
        </w:rPr>
        <w:footnoteReference w:id="13"/>
      </w:r>
    </w:p>
    <w:p w14:paraId="4697452C" w14:textId="20FC771C" w:rsidR="008E6B95" w:rsidRDefault="008E6B95" w:rsidP="008E6B95">
      <w:pPr>
        <w:pStyle w:val="Para1"/>
      </w:pPr>
      <w:r>
        <w:t>Even if one accepts that the wide site enables a potentially acceptable outcome with two single crossovers, the issue in this case is the loss of a street tree in the public realm.  I have set out my reasons earlier as to why I have concluded that removal of the street tree</w:t>
      </w:r>
      <w:r w:rsidR="006520BD">
        <w:t xml:space="preserve"> is not acceptable.</w:t>
      </w:r>
    </w:p>
    <w:p w14:paraId="39449617" w14:textId="713FD134" w:rsidR="00E02248" w:rsidRDefault="00E40951" w:rsidP="0083552E">
      <w:pPr>
        <w:pStyle w:val="Para1"/>
      </w:pPr>
      <w:r>
        <w:t xml:space="preserve">Having regard to the width of the subject land, there is scope to provide a setback from one side boundary. </w:t>
      </w:r>
      <w:r w:rsidR="00EE2DC8">
        <w:t xml:space="preserve"> </w:t>
      </w:r>
      <w:r>
        <w:t>If I had been minded to grant a permit, this could have been addressed by permit conditions. I agree with the applicant</w:t>
      </w:r>
      <w:r w:rsidR="00FB472A">
        <w:t>s’</w:t>
      </w:r>
      <w:r>
        <w:t xml:space="preserve"> submission that </w:t>
      </w:r>
      <w:r w:rsidR="000E184A">
        <w:t>the</w:t>
      </w:r>
      <w:r>
        <w:t xml:space="preserve"> setback to Dwelling 1 would not have adverse impacts with respect to functionality and layout.</w:t>
      </w:r>
    </w:p>
    <w:p w14:paraId="4E7B352C" w14:textId="77D050FE" w:rsidR="00DC1FE6" w:rsidRDefault="000A11E3" w:rsidP="00B50036">
      <w:pPr>
        <w:pStyle w:val="Heading2"/>
      </w:pPr>
      <w:r>
        <w:t>Conclusion</w:t>
      </w:r>
    </w:p>
    <w:p w14:paraId="4E2BF861" w14:textId="57280C8B" w:rsidR="003B4426" w:rsidRDefault="003B4426" w:rsidP="00346625">
      <w:pPr>
        <w:pStyle w:val="Para1"/>
      </w:pPr>
      <w:r>
        <w:t xml:space="preserve">There are only a limited number of matters in dispute in this proceeding.  </w:t>
      </w:r>
      <w:r w:rsidR="001E04F4">
        <w:t xml:space="preserve">The principle of developing the subject land with two dwellings is agreed between the parties.  </w:t>
      </w:r>
      <w:r>
        <w:t xml:space="preserve"> </w:t>
      </w:r>
    </w:p>
    <w:p w14:paraId="0A403A26" w14:textId="2B2F3C60" w:rsidR="00346625" w:rsidRDefault="000A11E3" w:rsidP="00346625">
      <w:pPr>
        <w:pStyle w:val="Para1"/>
      </w:pPr>
      <w:r>
        <w:t>For the above reasons, the</w:t>
      </w:r>
      <w:r w:rsidR="00B50036">
        <w:t xml:space="preserve"> r</w:t>
      </w:r>
      <w:r w:rsidRPr="00A36E53">
        <w:rPr>
          <w:color w:val="000000"/>
        </w:rPr>
        <w:t xml:space="preserve">esponsible </w:t>
      </w:r>
      <w:r w:rsidR="00B50036">
        <w:rPr>
          <w:color w:val="000000"/>
        </w:rPr>
        <w:t>a</w:t>
      </w:r>
      <w:r w:rsidRPr="00A36E53">
        <w:rPr>
          <w:color w:val="000000"/>
        </w:rPr>
        <w:t>uthority</w:t>
      </w:r>
      <w:r w:rsidR="00B50036">
        <w:rPr>
          <w:color w:val="000000"/>
        </w:rPr>
        <w:t xml:space="preserve">’s decision is affirmed.  </w:t>
      </w:r>
      <w:r w:rsidR="00505E82">
        <w:rPr>
          <w:color w:val="000000"/>
        </w:rPr>
        <w:t>No</w:t>
      </w:r>
      <w:r w:rsidR="00B50036">
        <w:rPr>
          <w:color w:val="000000"/>
        </w:rPr>
        <w:t xml:space="preserve"> permit is granted</w:t>
      </w:r>
      <w:r w:rsidR="00112F7A">
        <w:t>.</w:t>
      </w:r>
    </w:p>
    <w:p w14:paraId="55A57753" w14:textId="711759EE" w:rsidR="000A11E3" w:rsidRDefault="000A11E3" w:rsidP="000A11E3">
      <w:pPr>
        <w:pStyle w:val="Para1"/>
        <w:numPr>
          <w:ilvl w:val="0"/>
          <w:numId w:val="0"/>
        </w:numPr>
        <w:ind w:left="567" w:hanging="567"/>
      </w:pPr>
    </w:p>
    <w:p w14:paraId="27E1FB52" w14:textId="77777777" w:rsidR="00112F7A" w:rsidRDefault="00112F7A" w:rsidP="000A11E3">
      <w:pPr>
        <w:pStyle w:val="Para1"/>
        <w:numPr>
          <w:ilvl w:val="0"/>
          <w:numId w:val="0"/>
        </w:numPr>
        <w:ind w:left="567" w:hanging="567"/>
      </w:pPr>
    </w:p>
    <w:p w14:paraId="51932F40" w14:textId="77777777" w:rsidR="00345370" w:rsidRDefault="00345370">
      <w:pPr>
        <w:rPr>
          <w:rFonts w:ascii="Arial" w:hAnsi="Arial"/>
          <w:b/>
          <w:bCs/>
          <w:caps/>
          <w:sz w:val="24"/>
          <w:szCs w:val="24"/>
        </w:rPr>
      </w:pPr>
    </w:p>
    <w:tbl>
      <w:tblPr>
        <w:tblW w:w="0" w:type="auto"/>
        <w:tblLayout w:type="fixed"/>
        <w:tblLook w:val="0000" w:firstRow="0" w:lastRow="0" w:firstColumn="0" w:lastColumn="0" w:noHBand="0" w:noVBand="0"/>
      </w:tblPr>
      <w:tblGrid>
        <w:gridCol w:w="2988"/>
        <w:gridCol w:w="2827"/>
        <w:gridCol w:w="2906"/>
      </w:tblGrid>
      <w:tr w:rsidR="00345370" w:rsidRPr="00007380" w14:paraId="3DEFCB0A" w14:textId="77777777" w:rsidTr="00FC78BD">
        <w:tc>
          <w:tcPr>
            <w:tcW w:w="2988" w:type="dxa"/>
          </w:tcPr>
          <w:p w14:paraId="16888905" w14:textId="77777777" w:rsidR="00345370" w:rsidRPr="00007380" w:rsidRDefault="00345370" w:rsidP="00FC78BD">
            <w:pPr>
              <w:rPr>
                <w:b/>
              </w:rPr>
            </w:pPr>
            <w:r w:rsidRPr="00007380">
              <w:rPr>
                <w:b/>
              </w:rPr>
              <w:t>Margaret Baird</w:t>
            </w:r>
          </w:p>
          <w:p w14:paraId="0EFD378C" w14:textId="77777777" w:rsidR="00345370" w:rsidRPr="00007380" w:rsidRDefault="00345370" w:rsidP="00FC78BD">
            <w:pPr>
              <w:tabs>
                <w:tab w:val="left" w:pos="1515"/>
              </w:tabs>
              <w:rPr>
                <w:b/>
              </w:rPr>
            </w:pPr>
            <w:r w:rsidRPr="00007380">
              <w:rPr>
                <w:b/>
              </w:rPr>
              <w:t>Senior Member</w:t>
            </w:r>
          </w:p>
        </w:tc>
        <w:tc>
          <w:tcPr>
            <w:tcW w:w="2827" w:type="dxa"/>
          </w:tcPr>
          <w:p w14:paraId="2348A837" w14:textId="77777777" w:rsidR="00345370" w:rsidRPr="00007380" w:rsidRDefault="00345370" w:rsidP="00FC78BD">
            <w:pPr>
              <w:rPr>
                <w:b/>
              </w:rPr>
            </w:pPr>
          </w:p>
        </w:tc>
        <w:tc>
          <w:tcPr>
            <w:tcW w:w="2906" w:type="dxa"/>
          </w:tcPr>
          <w:p w14:paraId="3569FBDB" w14:textId="77777777" w:rsidR="00345370" w:rsidRPr="00007380" w:rsidRDefault="00345370" w:rsidP="00FC78BD">
            <w:pPr>
              <w:rPr>
                <w:b/>
              </w:rPr>
            </w:pPr>
          </w:p>
        </w:tc>
      </w:tr>
    </w:tbl>
    <w:p w14:paraId="648233C9" w14:textId="77777777" w:rsidR="00345370" w:rsidRPr="003E4693" w:rsidRDefault="00345370" w:rsidP="00DC1FE6">
      <w:pPr>
        <w:pStyle w:val="Heading1"/>
        <w:rPr>
          <w:b w:val="0"/>
          <w:bCs w:val="0"/>
          <w:caps w:val="0"/>
        </w:rPr>
      </w:pPr>
    </w:p>
    <w:sectPr w:rsidR="00345370" w:rsidRPr="003E4693" w:rsidSect="00A94CAD">
      <w:footerReference w:type="default" r:id="rId12"/>
      <w:pgSz w:w="11907" w:h="16840"/>
      <w:pgMar w:top="1276" w:right="1701" w:bottom="993" w:left="1701" w:header="567" w:footer="515"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E3496" w14:textId="77777777" w:rsidR="00E10C2F" w:rsidRDefault="00E10C2F" w:rsidP="00D70EFE">
      <w:pPr>
        <w:pStyle w:val="TitlePagetext"/>
      </w:pPr>
      <w:r>
        <w:separator/>
      </w:r>
    </w:p>
  </w:endnote>
  <w:endnote w:type="continuationSeparator" w:id="0">
    <w:p w14:paraId="39DF9FEA" w14:textId="77777777" w:rsidR="00E10C2F" w:rsidRDefault="00E10C2F" w:rsidP="00D70EFE">
      <w:pPr>
        <w:pStyle w:val="TitlePag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751" w:type="pct"/>
      <w:tblInd w:w="-426" w:type="dxa"/>
      <w:tblBorders>
        <w:top w:val="single" w:sz="4" w:space="0" w:color="auto"/>
      </w:tblBorders>
      <w:tblLook w:val="0000" w:firstRow="0" w:lastRow="0" w:firstColumn="0" w:lastColumn="0" w:noHBand="0" w:noVBand="0"/>
    </w:tblPr>
    <w:tblGrid>
      <w:gridCol w:w="6607"/>
      <w:gridCol w:w="3175"/>
    </w:tblGrid>
    <w:tr w:rsidR="00F07D41" w14:paraId="3C47B9D2" w14:textId="77777777" w:rsidTr="00F07D41">
      <w:trPr>
        <w:cantSplit/>
      </w:trPr>
      <w:tc>
        <w:tcPr>
          <w:tcW w:w="3377" w:type="pct"/>
        </w:tcPr>
        <w:p w14:paraId="7FF4591B" w14:textId="1107D457" w:rsidR="00F07D41" w:rsidRDefault="00F07D41" w:rsidP="00F07D41">
          <w:pPr>
            <w:pStyle w:val="Footer"/>
            <w:tabs>
              <w:tab w:val="clear" w:pos="9792"/>
            </w:tabs>
            <w:spacing w:beforeLines="60" w:before="144"/>
            <w:rPr>
              <w:rFonts w:cs="Arial"/>
              <w:sz w:val="18"/>
              <w:szCs w:val="18"/>
            </w:rPr>
          </w:pPr>
          <w:r>
            <w:rPr>
              <w:rFonts w:cs="Arial"/>
              <w:sz w:val="18"/>
              <w:szCs w:val="18"/>
            </w:rPr>
            <w:t>VCAT Reference No. P44/2020</w:t>
          </w:r>
        </w:p>
      </w:tc>
      <w:tc>
        <w:tcPr>
          <w:tcW w:w="1623" w:type="pct"/>
        </w:tcPr>
        <w:p w14:paraId="5C0B65A8" w14:textId="77777777" w:rsidR="00F07D41" w:rsidRDefault="00F07D41" w:rsidP="00F07D41">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2</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14:paraId="6EBBD133" w14:textId="77777777" w:rsidR="00FC78BD" w:rsidRDefault="00FC78BD">
    <w:pPr>
      <w:pStyle w:val="Footer"/>
      <w:rPr>
        <w:sz w:val="2"/>
      </w:rPr>
    </w:pPr>
    <w:bookmarkStart w:id="12" w:name="FooterDescription"/>
    <w:bookmarkStart w:id="13" w:name="FooterFileNo1"/>
    <w:bookmarkEnd w:id="12"/>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A8C36" w14:textId="77777777" w:rsidR="00E10C2F" w:rsidRDefault="00E10C2F">
      <w:pPr>
        <w:pStyle w:val="Footer"/>
        <w:pBdr>
          <w:top w:val="single" w:sz="4" w:space="1" w:color="auto"/>
        </w:pBdr>
        <w:rPr>
          <w:sz w:val="12"/>
        </w:rPr>
      </w:pPr>
    </w:p>
  </w:footnote>
  <w:footnote w:type="continuationSeparator" w:id="0">
    <w:p w14:paraId="1797DD78" w14:textId="77777777" w:rsidR="00E10C2F" w:rsidRDefault="00E10C2F" w:rsidP="00D70EFE">
      <w:pPr>
        <w:pStyle w:val="TitlePagetext"/>
      </w:pPr>
      <w:r>
        <w:continuationSeparator/>
      </w:r>
    </w:p>
  </w:footnote>
  <w:footnote w:id="1">
    <w:p w14:paraId="6A303AD2" w14:textId="5018BB7E" w:rsidR="00FC78BD" w:rsidRDefault="00FC78BD">
      <w:pPr>
        <w:pStyle w:val="FootnoteText"/>
      </w:pPr>
      <w:r w:rsidRPr="00FD330C">
        <w:rPr>
          <w:rStyle w:val="FootnoteReference"/>
        </w:rPr>
        <w:footnoteRef/>
      </w:r>
      <w:r w:rsidRPr="00FD330C">
        <w:t xml:space="preserve"> </w:t>
      </w:r>
      <w:r w:rsidRPr="00FD330C">
        <w:tab/>
        <w:t>Planning report extract.</w:t>
      </w:r>
      <w:r w:rsidR="00E34ACB" w:rsidRPr="00FD330C">
        <w:t xml:space="preserve">  The land has been rezoned since the Council’s decision</w:t>
      </w:r>
      <w:r w:rsidR="00A55761" w:rsidRPr="00FD330C">
        <w:t xml:space="preserve"> following the Gazette all of </w:t>
      </w:r>
      <w:r w:rsidR="00AF509A" w:rsidRPr="00FD330C">
        <w:t xml:space="preserve">Amendment C125 Part </w:t>
      </w:r>
      <w:r w:rsidR="00FD330C" w:rsidRPr="00FD330C">
        <w:t>2</w:t>
      </w:r>
      <w:r w:rsidR="00A55761" w:rsidRPr="00FD330C">
        <w:t xml:space="preserve"> In November 2019</w:t>
      </w:r>
      <w:r w:rsidR="00AF509A" w:rsidRPr="00FD330C">
        <w:t>.</w:t>
      </w:r>
    </w:p>
  </w:footnote>
  <w:footnote w:id="2">
    <w:p w14:paraId="2D573F9F" w14:textId="35480B69" w:rsidR="00FC78BD" w:rsidRDefault="00FC78BD" w:rsidP="00725553">
      <w:pPr>
        <w:pStyle w:val="FootnoteText"/>
        <w:ind w:right="-426"/>
      </w:pPr>
      <w:r>
        <w:rPr>
          <w:rStyle w:val="FootnoteReference"/>
        </w:rPr>
        <w:footnoteRef/>
      </w:r>
      <w:r>
        <w:t xml:space="preserve"> </w:t>
      </w:r>
      <w:r>
        <w:tab/>
        <w:t>The submissions and evidence of the parties, supporting exhibits and statements of grounds filed have all been considered in the determination of the proceeding.   In accordance with the Tribunal’s  practice, not all of this material will be cited or referred to in these reasons</w:t>
      </w:r>
      <w:r w:rsidR="000E184A">
        <w:t>.</w:t>
      </w:r>
    </w:p>
  </w:footnote>
  <w:footnote w:id="3">
    <w:p w14:paraId="4284C3E9" w14:textId="449A27EE" w:rsidR="008E6B95" w:rsidRDefault="008E6B95">
      <w:pPr>
        <w:pStyle w:val="FootnoteText"/>
      </w:pPr>
      <w:r>
        <w:rPr>
          <w:rStyle w:val="FootnoteReference"/>
        </w:rPr>
        <w:footnoteRef/>
      </w:r>
      <w:r>
        <w:t xml:space="preserve"> </w:t>
      </w:r>
      <w:r>
        <w:tab/>
        <w:t>Map 3 at clause 21.04-1.</w:t>
      </w:r>
    </w:p>
  </w:footnote>
  <w:footnote w:id="4">
    <w:p w14:paraId="18F22905" w14:textId="2E4CCA5B" w:rsidR="00FC78BD" w:rsidRPr="00DE3BAB" w:rsidRDefault="00FC78BD">
      <w:pPr>
        <w:pStyle w:val="FootnoteText"/>
        <w:rPr>
          <w:lang w:val="en-US"/>
        </w:rPr>
      </w:pPr>
      <w:r>
        <w:rPr>
          <w:rStyle w:val="FootnoteReference"/>
        </w:rPr>
        <w:footnoteRef/>
      </w:r>
      <w:r>
        <w:t xml:space="preserve"> </w:t>
      </w:r>
      <w:r>
        <w:rPr>
          <w:lang w:val="en-US"/>
        </w:rPr>
        <w:tab/>
        <w:t>The applicants</w:t>
      </w:r>
      <w:r w:rsidR="00FB472A">
        <w:rPr>
          <w:lang w:val="en-US"/>
        </w:rPr>
        <w:t>’</w:t>
      </w:r>
      <w:r>
        <w:rPr>
          <w:lang w:val="en-US"/>
        </w:rPr>
        <w:t xml:space="preserve"> submission refers to a small non-compliance with Standard B17.</w:t>
      </w:r>
    </w:p>
  </w:footnote>
  <w:footnote w:id="5">
    <w:p w14:paraId="0D95F84B" w14:textId="77777777" w:rsidR="00FC78BD" w:rsidRPr="00AD5A29" w:rsidRDefault="00FC78BD" w:rsidP="00415FEE">
      <w:pPr>
        <w:pStyle w:val="FootnoteText"/>
        <w:ind w:right="-426"/>
        <w:rPr>
          <w:lang w:val="en-US"/>
        </w:rPr>
      </w:pPr>
      <w:r>
        <w:rPr>
          <w:rStyle w:val="FootnoteReference"/>
        </w:rPr>
        <w:footnoteRef/>
      </w:r>
      <w:r>
        <w:t xml:space="preserve"> </w:t>
      </w:r>
      <w:r>
        <w:rPr>
          <w:lang w:val="en-US"/>
        </w:rPr>
        <w:tab/>
      </w:r>
      <w:r>
        <w:tab/>
        <w:t>Clause 22.01-4.</w:t>
      </w:r>
    </w:p>
  </w:footnote>
  <w:footnote w:id="6">
    <w:p w14:paraId="1E39F629" w14:textId="5CBC7070" w:rsidR="00FD483D" w:rsidRDefault="00FD483D">
      <w:pPr>
        <w:pStyle w:val="FootnoteText"/>
      </w:pPr>
      <w:r>
        <w:rPr>
          <w:rStyle w:val="FootnoteReference"/>
        </w:rPr>
        <w:footnoteRef/>
      </w:r>
      <w:r>
        <w:t xml:space="preserve"> </w:t>
      </w:r>
      <w:r>
        <w:tab/>
      </w:r>
      <w:r w:rsidR="00E33DAD" w:rsidRPr="00FD483D">
        <w:rPr>
          <w:i/>
          <w:iCs/>
        </w:rPr>
        <w:t>Thye Hern Lim v Monash CC</w:t>
      </w:r>
      <w:r w:rsidR="00E33DAD">
        <w:t xml:space="preserve"> (Corrected) [2017] VCAT 985; </w:t>
      </w:r>
      <w:r w:rsidR="00E33DAD" w:rsidRPr="00E33DAD">
        <w:rPr>
          <w:i/>
          <w:iCs/>
        </w:rPr>
        <w:t>Archsign Pty Ltd v Monash CC</w:t>
      </w:r>
      <w:r w:rsidR="00E33DAD">
        <w:t xml:space="preserve"> [2017] VCAT 1176.</w:t>
      </w:r>
    </w:p>
  </w:footnote>
  <w:footnote w:id="7">
    <w:p w14:paraId="701C423C" w14:textId="024D69D5" w:rsidR="00FC78BD" w:rsidRPr="00C05F8F" w:rsidRDefault="00FC78BD" w:rsidP="00415FEE">
      <w:pPr>
        <w:pStyle w:val="FootnoteText"/>
        <w:ind w:right="-426"/>
        <w:rPr>
          <w:lang w:val="en-US"/>
        </w:rPr>
      </w:pPr>
      <w:r>
        <w:rPr>
          <w:rStyle w:val="FootnoteReference"/>
        </w:rPr>
        <w:footnoteRef/>
      </w:r>
      <w:r>
        <w:t xml:space="preserve"> </w:t>
      </w:r>
      <w:r>
        <w:rPr>
          <w:lang w:val="en-US"/>
        </w:rPr>
        <w:tab/>
      </w:r>
      <w:r w:rsidR="00DD1029" w:rsidRPr="006E0272">
        <w:rPr>
          <w:lang w:val="en-US"/>
        </w:rPr>
        <w:t xml:space="preserve"> </w:t>
      </w:r>
      <w:r w:rsidR="0099394D" w:rsidRPr="00FD483D">
        <w:rPr>
          <w:i/>
          <w:iCs/>
        </w:rPr>
        <w:t>Thye Hern Lim v Monash CC</w:t>
      </w:r>
      <w:r w:rsidR="0099394D">
        <w:t xml:space="preserve"> (Corrected) [2017] VCAT 985</w:t>
      </w:r>
      <w:r w:rsidRPr="006E0272">
        <w:rPr>
          <w:lang w:val="en-US"/>
        </w:rPr>
        <w:t>.</w:t>
      </w:r>
      <w:r>
        <w:rPr>
          <w:lang w:val="en-US"/>
        </w:rPr>
        <w:t xml:space="preserve">  </w:t>
      </w:r>
    </w:p>
  </w:footnote>
  <w:footnote w:id="8">
    <w:p w14:paraId="1A8EA5D2" w14:textId="77777777" w:rsidR="00E409BF" w:rsidRPr="00C05F8F" w:rsidRDefault="00E409BF" w:rsidP="00E409BF">
      <w:pPr>
        <w:pStyle w:val="FootnoteText"/>
        <w:ind w:right="-426"/>
        <w:rPr>
          <w:lang w:val="en-US"/>
        </w:rPr>
      </w:pPr>
      <w:r>
        <w:rPr>
          <w:rStyle w:val="FootnoteReference"/>
        </w:rPr>
        <w:footnoteRef/>
      </w:r>
      <w:r>
        <w:t xml:space="preserve"> </w:t>
      </w:r>
      <w:r>
        <w:rPr>
          <w:lang w:val="en-US"/>
        </w:rPr>
        <w:tab/>
      </w:r>
      <w:r w:rsidRPr="006E0272">
        <w:rPr>
          <w:lang w:val="en-US"/>
        </w:rPr>
        <w:t xml:space="preserve"> Ibid.</w:t>
      </w:r>
      <w:r>
        <w:rPr>
          <w:lang w:val="en-US"/>
        </w:rPr>
        <w:t xml:space="preserve">  </w:t>
      </w:r>
    </w:p>
  </w:footnote>
  <w:footnote w:id="9">
    <w:p w14:paraId="18F8EE1D" w14:textId="4EE8EA7E" w:rsidR="0099394D" w:rsidRPr="00C05F8F" w:rsidRDefault="0099394D" w:rsidP="0099394D">
      <w:pPr>
        <w:pStyle w:val="FootnoteText"/>
        <w:ind w:right="-426"/>
        <w:rPr>
          <w:lang w:val="en-US"/>
        </w:rPr>
      </w:pPr>
      <w:r>
        <w:rPr>
          <w:rStyle w:val="FootnoteReference"/>
        </w:rPr>
        <w:footnoteRef/>
      </w:r>
      <w:r>
        <w:t xml:space="preserve"> </w:t>
      </w:r>
      <w:r>
        <w:rPr>
          <w:lang w:val="en-US"/>
        </w:rPr>
        <w:tab/>
      </w:r>
      <w:r w:rsidRPr="006E0272">
        <w:rPr>
          <w:lang w:val="en-US"/>
        </w:rPr>
        <w:t>Ibid</w:t>
      </w:r>
      <w:r>
        <w:rPr>
          <w:lang w:val="en-US"/>
        </w:rPr>
        <w:t>, [54], [56] and [57]</w:t>
      </w:r>
      <w:r w:rsidRPr="006E0272">
        <w:rPr>
          <w:lang w:val="en-US"/>
        </w:rPr>
        <w:t>.</w:t>
      </w:r>
      <w:r>
        <w:rPr>
          <w:lang w:val="en-US"/>
        </w:rPr>
        <w:t xml:space="preserve">  </w:t>
      </w:r>
    </w:p>
  </w:footnote>
  <w:footnote w:id="10">
    <w:p w14:paraId="1267493B" w14:textId="275132DC" w:rsidR="00E33DAD" w:rsidRDefault="00E33DAD">
      <w:pPr>
        <w:pStyle w:val="FootnoteText"/>
      </w:pPr>
      <w:r>
        <w:rPr>
          <w:rStyle w:val="FootnoteReference"/>
        </w:rPr>
        <w:footnoteRef/>
      </w:r>
      <w:r>
        <w:t xml:space="preserve"> </w:t>
      </w:r>
      <w:r>
        <w:tab/>
        <w:t>Paragraphs</w:t>
      </w:r>
      <w:r w:rsidR="000E184A">
        <w:t xml:space="preserve"> </w:t>
      </w:r>
      <w:r>
        <w:t>3.1.4 – 3.1.5 of the statement of evidence dated 2 June 2020.</w:t>
      </w:r>
    </w:p>
  </w:footnote>
  <w:footnote w:id="11">
    <w:p w14:paraId="5CECA73F" w14:textId="595744C9" w:rsidR="0099394D" w:rsidRDefault="0099394D">
      <w:pPr>
        <w:pStyle w:val="FootnoteText"/>
      </w:pPr>
      <w:r>
        <w:rPr>
          <w:rStyle w:val="FootnoteReference"/>
        </w:rPr>
        <w:footnoteRef/>
      </w:r>
      <w:r>
        <w:t xml:space="preserve"> </w:t>
      </w:r>
      <w:r>
        <w:tab/>
      </w:r>
      <w:r w:rsidRPr="00FD483D">
        <w:rPr>
          <w:i/>
          <w:iCs/>
        </w:rPr>
        <w:t>Thye Hern Lim v Monash CC</w:t>
      </w:r>
      <w:r>
        <w:t xml:space="preserve"> (Corrected) [2017] VCAT 985, [60].</w:t>
      </w:r>
    </w:p>
  </w:footnote>
  <w:footnote w:id="12">
    <w:p w14:paraId="3F4D347E" w14:textId="2C63771A" w:rsidR="00976325" w:rsidRPr="00253C26" w:rsidRDefault="00976325">
      <w:pPr>
        <w:pStyle w:val="FootnoteText"/>
        <w:rPr>
          <w:color w:val="000000" w:themeColor="text1"/>
        </w:rPr>
      </w:pPr>
      <w:r w:rsidRPr="00253C26">
        <w:rPr>
          <w:rStyle w:val="FootnoteReference"/>
          <w:color w:val="000000" w:themeColor="text1"/>
        </w:rPr>
        <w:footnoteRef/>
      </w:r>
      <w:r w:rsidRPr="00253C26">
        <w:rPr>
          <w:color w:val="000000" w:themeColor="text1"/>
        </w:rPr>
        <w:t xml:space="preserve"> </w:t>
      </w:r>
      <w:r w:rsidRPr="00253C26">
        <w:rPr>
          <w:color w:val="000000" w:themeColor="text1"/>
        </w:rPr>
        <w:tab/>
      </w:r>
      <w:r w:rsidRPr="00253C26">
        <w:rPr>
          <w:i/>
          <w:iCs/>
          <w:color w:val="000000" w:themeColor="text1"/>
        </w:rPr>
        <w:t>Thye Hern Lim v Monash CC</w:t>
      </w:r>
      <w:r w:rsidRPr="00253C26">
        <w:rPr>
          <w:color w:val="000000" w:themeColor="text1"/>
        </w:rPr>
        <w:t xml:space="preserve"> (Corrected) [2017] VCAT 985, [34]</w:t>
      </w:r>
      <w:r w:rsidR="00094832" w:rsidRPr="00253C26">
        <w:rPr>
          <w:color w:val="000000" w:themeColor="text1"/>
        </w:rPr>
        <w:t>, the Tribunal said</w:t>
      </w:r>
      <w:r w:rsidRPr="00253C26">
        <w:rPr>
          <w:color w:val="000000" w:themeColor="text1"/>
        </w:rPr>
        <w:t xml:space="preserve">: </w:t>
      </w:r>
    </w:p>
    <w:p w14:paraId="2141778D" w14:textId="50CDB512" w:rsidR="00094832" w:rsidRPr="00253C26" w:rsidRDefault="00094832" w:rsidP="00094832">
      <w:pPr>
        <w:pStyle w:val="FootnoteText"/>
        <w:ind w:left="851" w:firstLine="0"/>
        <w:rPr>
          <w:color w:val="000000" w:themeColor="text1"/>
        </w:rPr>
      </w:pPr>
      <w:r w:rsidRPr="00253C26">
        <w:rPr>
          <w:color w:val="000000" w:themeColor="text1"/>
          <w:shd w:val="clear" w:color="auto" w:fill="FFFFFF"/>
        </w:rPr>
        <w:t>I think that on sites that are relatively wide, the side by side arrangement can be a preferable design response compared to a tandem arrangement. This is a site responsive design that takes advantage of the wide frontage, and recognises that it has only a modest depth. Two dwellings in a tandem arrangement would probably result in the front dwelling extending across the front, and it would place two storey built form close to the rear boundary. This proposal allows the two dwellings to enjoy north solar access to their front rooms, rather than the rear dwellings possible being overshadowed by the front dwelling. It also enables the built form to be set backs from the rear boundary.</w:t>
      </w:r>
    </w:p>
  </w:footnote>
  <w:footnote w:id="13">
    <w:p w14:paraId="18BE0CBB" w14:textId="42467AA1" w:rsidR="004B036A" w:rsidRDefault="004B036A">
      <w:pPr>
        <w:pStyle w:val="FootnoteText"/>
      </w:pPr>
      <w:r>
        <w:rPr>
          <w:rStyle w:val="FootnoteReference"/>
        </w:rPr>
        <w:footnoteRef/>
      </w:r>
      <w:r>
        <w:t xml:space="preserve"> </w:t>
      </w:r>
      <w:r>
        <w:tab/>
        <w:t>Clause 22.01-4.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81283"/>
    <w:multiLevelType w:val="hybridMultilevel"/>
    <w:tmpl w:val="78EC772E"/>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D7343A"/>
    <w:multiLevelType w:val="hybridMultilevel"/>
    <w:tmpl w:val="A7EC7A5A"/>
    <w:lvl w:ilvl="0" w:tplc="3FA29BF0">
      <w:start w:val="73"/>
      <w:numFmt w:val="decimal"/>
      <w:lvlText w:val="%1"/>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C464256">
      <w:start w:val="21"/>
      <w:numFmt w:val="decimal"/>
      <w:lvlText w:val="%2"/>
      <w:lvlJc w:val="left"/>
      <w:pPr>
        <w:ind w:left="1425"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2" w:tplc="299C8DDC">
      <w:start w:val="1"/>
      <w:numFmt w:val="lowerRoman"/>
      <w:lvlText w:val="%3"/>
      <w:lvlJc w:val="left"/>
      <w:pPr>
        <w:ind w:left="180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3" w:tplc="A9B61F3E">
      <w:start w:val="1"/>
      <w:numFmt w:val="decimal"/>
      <w:lvlText w:val="%4"/>
      <w:lvlJc w:val="left"/>
      <w:pPr>
        <w:ind w:left="252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4" w:tplc="F34E7942">
      <w:start w:val="1"/>
      <w:numFmt w:val="lowerLetter"/>
      <w:lvlText w:val="%5"/>
      <w:lvlJc w:val="left"/>
      <w:pPr>
        <w:ind w:left="324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5" w:tplc="7B12F95E">
      <w:start w:val="1"/>
      <w:numFmt w:val="lowerRoman"/>
      <w:lvlText w:val="%6"/>
      <w:lvlJc w:val="left"/>
      <w:pPr>
        <w:ind w:left="396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6" w:tplc="0C86AC14">
      <w:start w:val="1"/>
      <w:numFmt w:val="decimal"/>
      <w:lvlText w:val="%7"/>
      <w:lvlJc w:val="left"/>
      <w:pPr>
        <w:ind w:left="468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7" w:tplc="137E1FEA">
      <w:start w:val="1"/>
      <w:numFmt w:val="lowerLetter"/>
      <w:lvlText w:val="%8"/>
      <w:lvlJc w:val="left"/>
      <w:pPr>
        <w:ind w:left="540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8" w:tplc="9CC8244C">
      <w:start w:val="1"/>
      <w:numFmt w:val="lowerRoman"/>
      <w:lvlText w:val="%9"/>
      <w:lvlJc w:val="left"/>
      <w:pPr>
        <w:ind w:left="612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abstractNum>
  <w:abstractNum w:abstractNumId="3" w15:restartNumberingAfterBreak="0">
    <w:nsid w:val="132A618D"/>
    <w:multiLevelType w:val="hybridMultilevel"/>
    <w:tmpl w:val="9EC46206"/>
    <w:lvl w:ilvl="0" w:tplc="CE9239F4">
      <w:start w:val="1"/>
      <w:numFmt w:val="lowerRoman"/>
      <w:pStyle w:val="Para3"/>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8A5120"/>
    <w:multiLevelType w:val="hybridMultilevel"/>
    <w:tmpl w:val="193EBA0A"/>
    <w:lvl w:ilvl="0" w:tplc="89A0433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82EF6C">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16602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C4CBD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F04D1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EE168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9416F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9CAF5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5A053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CDA699F"/>
    <w:multiLevelType w:val="hybridMultilevel"/>
    <w:tmpl w:val="69208ECA"/>
    <w:lvl w:ilvl="0" w:tplc="7D0CB33A">
      <w:start w:val="1"/>
      <w:numFmt w:val="decimal"/>
      <w:lvlText w:val="%1."/>
      <w:lvlJc w:val="left"/>
      <w:pPr>
        <w:tabs>
          <w:tab w:val="num" w:pos="720"/>
        </w:tabs>
        <w:ind w:left="720" w:hanging="360"/>
      </w:pPr>
    </w:lvl>
    <w:lvl w:ilvl="1" w:tplc="441657A2">
      <w:start w:val="1"/>
      <w:numFmt w:val="lowerRoman"/>
      <w:lvlText w:val="%2."/>
      <w:lvlJc w:val="right"/>
      <w:pPr>
        <w:tabs>
          <w:tab w:val="num" w:pos="1440"/>
        </w:tabs>
        <w:ind w:left="1440" w:hanging="360"/>
      </w:pPr>
    </w:lvl>
    <w:lvl w:ilvl="2" w:tplc="3B76833C" w:tentative="1">
      <w:start w:val="1"/>
      <w:numFmt w:val="decimal"/>
      <w:lvlText w:val="%3."/>
      <w:lvlJc w:val="left"/>
      <w:pPr>
        <w:tabs>
          <w:tab w:val="num" w:pos="2160"/>
        </w:tabs>
        <w:ind w:left="2160" w:hanging="360"/>
      </w:pPr>
    </w:lvl>
    <w:lvl w:ilvl="3" w:tplc="1998514A" w:tentative="1">
      <w:start w:val="1"/>
      <w:numFmt w:val="decimal"/>
      <w:lvlText w:val="%4."/>
      <w:lvlJc w:val="left"/>
      <w:pPr>
        <w:tabs>
          <w:tab w:val="num" w:pos="2880"/>
        </w:tabs>
        <w:ind w:left="2880" w:hanging="360"/>
      </w:pPr>
    </w:lvl>
    <w:lvl w:ilvl="4" w:tplc="0FF2F90A" w:tentative="1">
      <w:start w:val="1"/>
      <w:numFmt w:val="decimal"/>
      <w:lvlText w:val="%5."/>
      <w:lvlJc w:val="left"/>
      <w:pPr>
        <w:tabs>
          <w:tab w:val="num" w:pos="3600"/>
        </w:tabs>
        <w:ind w:left="3600" w:hanging="360"/>
      </w:pPr>
    </w:lvl>
    <w:lvl w:ilvl="5" w:tplc="B7F48530" w:tentative="1">
      <w:start w:val="1"/>
      <w:numFmt w:val="decimal"/>
      <w:lvlText w:val="%6."/>
      <w:lvlJc w:val="left"/>
      <w:pPr>
        <w:tabs>
          <w:tab w:val="num" w:pos="4320"/>
        </w:tabs>
        <w:ind w:left="4320" w:hanging="360"/>
      </w:pPr>
    </w:lvl>
    <w:lvl w:ilvl="6" w:tplc="225A1D4A" w:tentative="1">
      <w:start w:val="1"/>
      <w:numFmt w:val="decimal"/>
      <w:lvlText w:val="%7."/>
      <w:lvlJc w:val="left"/>
      <w:pPr>
        <w:tabs>
          <w:tab w:val="num" w:pos="5040"/>
        </w:tabs>
        <w:ind w:left="5040" w:hanging="360"/>
      </w:pPr>
    </w:lvl>
    <w:lvl w:ilvl="7" w:tplc="FB489E50" w:tentative="1">
      <w:start w:val="1"/>
      <w:numFmt w:val="decimal"/>
      <w:lvlText w:val="%8."/>
      <w:lvlJc w:val="left"/>
      <w:pPr>
        <w:tabs>
          <w:tab w:val="num" w:pos="5760"/>
        </w:tabs>
        <w:ind w:left="5760" w:hanging="360"/>
      </w:pPr>
    </w:lvl>
    <w:lvl w:ilvl="8" w:tplc="EC9E22DC" w:tentative="1">
      <w:start w:val="1"/>
      <w:numFmt w:val="decimal"/>
      <w:lvlText w:val="%9."/>
      <w:lvlJc w:val="left"/>
      <w:pPr>
        <w:tabs>
          <w:tab w:val="num" w:pos="6480"/>
        </w:tabs>
        <w:ind w:left="6480" w:hanging="360"/>
      </w:p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3150191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69F096C"/>
    <w:multiLevelType w:val="multilevel"/>
    <w:tmpl w:val="D8BAF794"/>
    <w:lvl w:ilvl="0">
      <w:start w:val="1"/>
      <w:numFmt w:val="decimal"/>
      <w:pStyle w:val="Order2"/>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49A32BAD"/>
    <w:multiLevelType w:val="multilevel"/>
    <w:tmpl w:val="963CFD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2311A6"/>
    <w:multiLevelType w:val="hybridMultilevel"/>
    <w:tmpl w:val="A6A482E4"/>
    <w:lvl w:ilvl="0" w:tplc="EF96D9DE">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CF3A9350">
      <w:start w:val="1"/>
      <w:numFmt w:val="bullet"/>
      <w:lvlText w:val="o"/>
      <w:lvlJc w:val="left"/>
      <w:pPr>
        <w:ind w:left="171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2" w:tplc="FF9C8A1E">
      <w:start w:val="1"/>
      <w:numFmt w:val="bullet"/>
      <w:lvlText w:val="▪"/>
      <w:lvlJc w:val="left"/>
      <w:pPr>
        <w:ind w:left="243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3" w:tplc="40F69430">
      <w:start w:val="1"/>
      <w:numFmt w:val="bullet"/>
      <w:lvlText w:val="•"/>
      <w:lvlJc w:val="left"/>
      <w:pPr>
        <w:ind w:left="315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3BA5F6C">
      <w:start w:val="1"/>
      <w:numFmt w:val="bullet"/>
      <w:lvlText w:val="o"/>
      <w:lvlJc w:val="left"/>
      <w:pPr>
        <w:ind w:left="387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5" w:tplc="067C37D8">
      <w:start w:val="1"/>
      <w:numFmt w:val="bullet"/>
      <w:lvlText w:val="▪"/>
      <w:lvlJc w:val="left"/>
      <w:pPr>
        <w:ind w:left="459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6" w:tplc="A962AE06">
      <w:start w:val="1"/>
      <w:numFmt w:val="bullet"/>
      <w:lvlText w:val="•"/>
      <w:lvlJc w:val="left"/>
      <w:pPr>
        <w:ind w:left="53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B476C1D8">
      <w:start w:val="1"/>
      <w:numFmt w:val="bullet"/>
      <w:lvlText w:val="o"/>
      <w:lvlJc w:val="left"/>
      <w:pPr>
        <w:ind w:left="603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8" w:tplc="32E01FDA">
      <w:start w:val="1"/>
      <w:numFmt w:val="bullet"/>
      <w:lvlText w:val="▪"/>
      <w:lvlJc w:val="left"/>
      <w:pPr>
        <w:ind w:left="675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abstractNum>
  <w:abstractNum w:abstractNumId="11" w15:restartNumberingAfterBreak="0">
    <w:nsid w:val="68136142"/>
    <w:multiLevelType w:val="hybridMultilevel"/>
    <w:tmpl w:val="AC3E5EA6"/>
    <w:lvl w:ilvl="0" w:tplc="4E243F46">
      <w:start w:val="1"/>
      <w:numFmt w:val="decimal"/>
      <w:pStyle w:val="Condition"/>
      <w:lvlText w:val="%1."/>
      <w:lvlJc w:val="left"/>
      <w:pPr>
        <w:ind w:left="720" w:hanging="360"/>
      </w:pPr>
    </w:lvl>
    <w:lvl w:ilvl="1" w:tplc="E08E2C34" w:tentative="1">
      <w:start w:val="1"/>
      <w:numFmt w:val="lowerLetter"/>
      <w:lvlText w:val="%2."/>
      <w:lvlJc w:val="left"/>
      <w:pPr>
        <w:ind w:left="1440" w:hanging="360"/>
      </w:pPr>
    </w:lvl>
    <w:lvl w:ilvl="2" w:tplc="13505260" w:tentative="1">
      <w:start w:val="1"/>
      <w:numFmt w:val="lowerRoman"/>
      <w:lvlText w:val="%3."/>
      <w:lvlJc w:val="right"/>
      <w:pPr>
        <w:ind w:left="2160" w:hanging="180"/>
      </w:pPr>
    </w:lvl>
    <w:lvl w:ilvl="3" w:tplc="BD785A7C" w:tentative="1">
      <w:start w:val="1"/>
      <w:numFmt w:val="decimal"/>
      <w:lvlText w:val="%4."/>
      <w:lvlJc w:val="left"/>
      <w:pPr>
        <w:ind w:left="2880" w:hanging="360"/>
      </w:pPr>
    </w:lvl>
    <w:lvl w:ilvl="4" w:tplc="DFAC7F66" w:tentative="1">
      <w:start w:val="1"/>
      <w:numFmt w:val="lowerLetter"/>
      <w:lvlText w:val="%5."/>
      <w:lvlJc w:val="left"/>
      <w:pPr>
        <w:ind w:left="3600" w:hanging="360"/>
      </w:pPr>
    </w:lvl>
    <w:lvl w:ilvl="5" w:tplc="D8ACD2D6" w:tentative="1">
      <w:start w:val="1"/>
      <w:numFmt w:val="lowerRoman"/>
      <w:lvlText w:val="%6."/>
      <w:lvlJc w:val="right"/>
      <w:pPr>
        <w:ind w:left="4320" w:hanging="180"/>
      </w:pPr>
    </w:lvl>
    <w:lvl w:ilvl="6" w:tplc="04B6032A" w:tentative="1">
      <w:start w:val="1"/>
      <w:numFmt w:val="decimal"/>
      <w:lvlText w:val="%7."/>
      <w:lvlJc w:val="left"/>
      <w:pPr>
        <w:ind w:left="5040" w:hanging="360"/>
      </w:pPr>
    </w:lvl>
    <w:lvl w:ilvl="7" w:tplc="B5506AE8" w:tentative="1">
      <w:start w:val="1"/>
      <w:numFmt w:val="lowerLetter"/>
      <w:lvlText w:val="%8."/>
      <w:lvlJc w:val="left"/>
      <w:pPr>
        <w:ind w:left="5760" w:hanging="360"/>
      </w:pPr>
    </w:lvl>
    <w:lvl w:ilvl="8" w:tplc="B55E6994" w:tentative="1">
      <w:start w:val="1"/>
      <w:numFmt w:val="lowerRoman"/>
      <w:lvlText w:val="%9."/>
      <w:lvlJc w:val="right"/>
      <w:pPr>
        <w:ind w:left="6480" w:hanging="180"/>
      </w:pPr>
    </w:lvl>
  </w:abstractNum>
  <w:abstractNum w:abstractNumId="12" w15:restartNumberingAfterBreak="0">
    <w:nsid w:val="6D477E11"/>
    <w:multiLevelType w:val="hybridMultilevel"/>
    <w:tmpl w:val="4BE2924E"/>
    <w:lvl w:ilvl="0" w:tplc="3AAA14A0">
      <w:start w:val="1"/>
      <w:numFmt w:val="decimal"/>
      <w:lvlText w:val="%1."/>
      <w:lvlJc w:val="left"/>
      <w:pPr>
        <w:tabs>
          <w:tab w:val="num" w:pos="720"/>
        </w:tabs>
        <w:ind w:left="720" w:hanging="360"/>
      </w:pPr>
    </w:lvl>
    <w:lvl w:ilvl="1" w:tplc="A9801404">
      <w:start w:val="1"/>
      <w:numFmt w:val="lowerLetter"/>
      <w:lvlText w:val="%2."/>
      <w:lvlJc w:val="right"/>
      <w:pPr>
        <w:tabs>
          <w:tab w:val="num" w:pos="1440"/>
        </w:tabs>
        <w:ind w:left="1440" w:hanging="360"/>
      </w:pPr>
    </w:lvl>
    <w:lvl w:ilvl="2" w:tplc="4D3A16A6" w:tentative="1">
      <w:start w:val="1"/>
      <w:numFmt w:val="decimal"/>
      <w:lvlText w:val="%3."/>
      <w:lvlJc w:val="left"/>
      <w:pPr>
        <w:tabs>
          <w:tab w:val="num" w:pos="2160"/>
        </w:tabs>
        <w:ind w:left="2160" w:hanging="360"/>
      </w:pPr>
    </w:lvl>
    <w:lvl w:ilvl="3" w:tplc="24E4CB5A" w:tentative="1">
      <w:start w:val="1"/>
      <w:numFmt w:val="decimal"/>
      <w:lvlText w:val="%4."/>
      <w:lvlJc w:val="left"/>
      <w:pPr>
        <w:tabs>
          <w:tab w:val="num" w:pos="2880"/>
        </w:tabs>
        <w:ind w:left="2880" w:hanging="360"/>
      </w:pPr>
    </w:lvl>
    <w:lvl w:ilvl="4" w:tplc="F3B647F2" w:tentative="1">
      <w:start w:val="1"/>
      <w:numFmt w:val="decimal"/>
      <w:lvlText w:val="%5."/>
      <w:lvlJc w:val="left"/>
      <w:pPr>
        <w:tabs>
          <w:tab w:val="num" w:pos="3600"/>
        </w:tabs>
        <w:ind w:left="3600" w:hanging="360"/>
      </w:pPr>
    </w:lvl>
    <w:lvl w:ilvl="5" w:tplc="78DE7394" w:tentative="1">
      <w:start w:val="1"/>
      <w:numFmt w:val="decimal"/>
      <w:lvlText w:val="%6."/>
      <w:lvlJc w:val="left"/>
      <w:pPr>
        <w:tabs>
          <w:tab w:val="num" w:pos="4320"/>
        </w:tabs>
        <w:ind w:left="4320" w:hanging="360"/>
      </w:pPr>
    </w:lvl>
    <w:lvl w:ilvl="6" w:tplc="8B0A9B68" w:tentative="1">
      <w:start w:val="1"/>
      <w:numFmt w:val="decimal"/>
      <w:lvlText w:val="%7."/>
      <w:lvlJc w:val="left"/>
      <w:pPr>
        <w:tabs>
          <w:tab w:val="num" w:pos="5040"/>
        </w:tabs>
        <w:ind w:left="5040" w:hanging="360"/>
      </w:pPr>
    </w:lvl>
    <w:lvl w:ilvl="7" w:tplc="7EAC0C6E" w:tentative="1">
      <w:start w:val="1"/>
      <w:numFmt w:val="decimal"/>
      <w:lvlText w:val="%8."/>
      <w:lvlJc w:val="left"/>
      <w:pPr>
        <w:tabs>
          <w:tab w:val="num" w:pos="5760"/>
        </w:tabs>
        <w:ind w:left="5760" w:hanging="360"/>
      </w:pPr>
    </w:lvl>
    <w:lvl w:ilvl="8" w:tplc="394A479E" w:tentative="1">
      <w:start w:val="1"/>
      <w:numFmt w:val="decimal"/>
      <w:lvlText w:val="%9."/>
      <w:lvlJc w:val="left"/>
      <w:pPr>
        <w:tabs>
          <w:tab w:val="num" w:pos="6480"/>
        </w:tabs>
        <w:ind w:left="6480" w:hanging="360"/>
      </w:pPr>
    </w:lvl>
  </w:abstractNum>
  <w:abstractNum w:abstractNumId="13"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6E3506"/>
    <w:multiLevelType w:val="hybridMultilevel"/>
    <w:tmpl w:val="D82470D4"/>
    <w:lvl w:ilvl="0" w:tplc="DAB4A76A">
      <w:start w:val="27"/>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82C2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CAEC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22932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589E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1E4E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BE4B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9041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F8AD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EF970CF"/>
    <w:multiLevelType w:val="hybridMultilevel"/>
    <w:tmpl w:val="B9D83FCA"/>
    <w:lvl w:ilvl="0" w:tplc="DD048C0E">
      <w:start w:val="1"/>
      <w:numFmt w:val="lowerLetter"/>
      <w:pStyle w:val="Sub-condition"/>
      <w:lvlText w:val="(%1)"/>
      <w:lvlJc w:val="left"/>
      <w:pPr>
        <w:ind w:left="720" w:hanging="360"/>
      </w:pPr>
      <w:rPr>
        <w:rFonts w:hint="default"/>
      </w:rPr>
    </w:lvl>
    <w:lvl w:ilvl="1" w:tplc="578AA5A4" w:tentative="1">
      <w:start w:val="1"/>
      <w:numFmt w:val="lowerLetter"/>
      <w:lvlText w:val="%2."/>
      <w:lvlJc w:val="left"/>
      <w:pPr>
        <w:ind w:left="1440" w:hanging="360"/>
      </w:pPr>
    </w:lvl>
    <w:lvl w:ilvl="2" w:tplc="F6024D02" w:tentative="1">
      <w:start w:val="1"/>
      <w:numFmt w:val="lowerRoman"/>
      <w:lvlText w:val="%3."/>
      <w:lvlJc w:val="right"/>
      <w:pPr>
        <w:ind w:left="2160" w:hanging="180"/>
      </w:pPr>
    </w:lvl>
    <w:lvl w:ilvl="3" w:tplc="D97AC854" w:tentative="1">
      <w:start w:val="1"/>
      <w:numFmt w:val="decimal"/>
      <w:lvlText w:val="%4."/>
      <w:lvlJc w:val="left"/>
      <w:pPr>
        <w:ind w:left="2880" w:hanging="360"/>
      </w:pPr>
    </w:lvl>
    <w:lvl w:ilvl="4" w:tplc="E5EC5642" w:tentative="1">
      <w:start w:val="1"/>
      <w:numFmt w:val="lowerLetter"/>
      <w:lvlText w:val="%5."/>
      <w:lvlJc w:val="left"/>
      <w:pPr>
        <w:ind w:left="3600" w:hanging="360"/>
      </w:pPr>
    </w:lvl>
    <w:lvl w:ilvl="5" w:tplc="9030F4DC" w:tentative="1">
      <w:start w:val="1"/>
      <w:numFmt w:val="lowerRoman"/>
      <w:lvlText w:val="%6."/>
      <w:lvlJc w:val="right"/>
      <w:pPr>
        <w:ind w:left="4320" w:hanging="180"/>
      </w:pPr>
    </w:lvl>
    <w:lvl w:ilvl="6" w:tplc="2918FC12" w:tentative="1">
      <w:start w:val="1"/>
      <w:numFmt w:val="decimal"/>
      <w:lvlText w:val="%7."/>
      <w:lvlJc w:val="left"/>
      <w:pPr>
        <w:ind w:left="5040" w:hanging="360"/>
      </w:pPr>
    </w:lvl>
    <w:lvl w:ilvl="7" w:tplc="E93E8460" w:tentative="1">
      <w:start w:val="1"/>
      <w:numFmt w:val="lowerLetter"/>
      <w:lvlText w:val="%8."/>
      <w:lvlJc w:val="left"/>
      <w:pPr>
        <w:ind w:left="5760" w:hanging="360"/>
      </w:pPr>
    </w:lvl>
    <w:lvl w:ilvl="8" w:tplc="D032A29A"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6"/>
  </w:num>
  <w:num w:numId="5">
    <w:abstractNumId w:val="13"/>
  </w:num>
  <w:num w:numId="6">
    <w:abstractNumId w:val="7"/>
  </w:num>
  <w:num w:numId="7">
    <w:abstractNumId w:val="11"/>
  </w:num>
  <w:num w:numId="8">
    <w:abstractNumId w:val="15"/>
  </w:num>
  <w:num w:numId="9">
    <w:abstractNumId w:val="8"/>
  </w:num>
  <w:num w:numId="10">
    <w:abstractNumId w:val="4"/>
  </w:num>
  <w:num w:numId="11">
    <w:abstractNumId w:val="14"/>
  </w:num>
  <w:num w:numId="12">
    <w:abstractNumId w:val="9"/>
    <w:lvlOverride w:ilvl="0">
      <w:startOverride w:val="26"/>
    </w:lvlOverride>
  </w:num>
  <w:num w:numId="13">
    <w:abstractNumId w:val="9"/>
    <w:lvlOverride w:ilvl="0"/>
    <w:lvlOverride w:ilvl="1">
      <w:startOverride w:val="1"/>
    </w:lvlOverride>
  </w:num>
  <w:num w:numId="14">
    <w:abstractNumId w:val="9"/>
    <w:lvlOverride w:ilvl="0"/>
    <w:lvlOverride w:ilvl="1">
      <w:startOverride w:val="2"/>
    </w:lvlOverride>
  </w:num>
  <w:num w:numId="15">
    <w:abstractNumId w:val="5"/>
    <w:lvlOverride w:ilvl="1">
      <w:startOverride w:val="100"/>
    </w:lvlOverride>
  </w:num>
  <w:num w:numId="16">
    <w:abstractNumId w:val="12"/>
    <w:lvlOverride w:ilvl="1">
      <w:startOverride w:val="4"/>
    </w:lvlOverride>
  </w:num>
  <w:num w:numId="17">
    <w:abstractNumId w:val="12"/>
    <w:lvlOverride w:ilvl="1">
      <w:startOverride w:val="5"/>
    </w:lvlOverride>
  </w:num>
  <w:num w:numId="18">
    <w:abstractNumId w:val="12"/>
    <w:lvlOverride w:ilvl="0">
      <w:startOverride w:val="27"/>
    </w:lvlOverride>
    <w:lvlOverride w:ilvl="1"/>
  </w:num>
  <w:num w:numId="19">
    <w:abstractNumId w:val="12"/>
    <w:lvlOverride w:ilvl="0">
      <w:startOverride w:val="28"/>
    </w:lvlOverride>
    <w:lvlOverride w:ilvl="1"/>
  </w:num>
  <w:num w:numId="20">
    <w:abstractNumId w:val="12"/>
    <w:lvlOverride w:ilvl="0">
      <w:startOverride w:val="29"/>
    </w:lvlOverride>
    <w:lvlOverride w:ilvl="1"/>
  </w:num>
  <w:num w:numId="21">
    <w:abstractNumId w:val="12"/>
    <w:lvlOverride w:ilvl="0">
      <w:startOverride w:val="30"/>
    </w:lvlOverride>
    <w:lvlOverride w:ilvl="1"/>
  </w:num>
  <w:num w:numId="22">
    <w:abstractNumId w:val="10"/>
  </w:num>
  <w:num w:numId="23">
    <w:abstractNumId w:val="1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73"/>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SiUDjTHv2Ta+FgBulRbkEPR/zMF4mNQkOlR1aqPFdZkdtUfDMn/O0FArAqHREIbv9a5NU/m42zihyW4GPbdoUA==" w:salt="GISi3hvH+4jeq9sAbrMojQ=="/>
  <w:defaultTabStop w:val="284"/>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CAT Seal" w:val="True"/>
  </w:docVars>
  <w:rsids>
    <w:rsidRoot w:val="00A35A81"/>
    <w:rsid w:val="00001257"/>
    <w:rsid w:val="000125F7"/>
    <w:rsid w:val="000176ED"/>
    <w:rsid w:val="00020D2B"/>
    <w:rsid w:val="00021372"/>
    <w:rsid w:val="0003270E"/>
    <w:rsid w:val="00036F88"/>
    <w:rsid w:val="00041247"/>
    <w:rsid w:val="000414D6"/>
    <w:rsid w:val="000423F0"/>
    <w:rsid w:val="000450C2"/>
    <w:rsid w:val="000471C4"/>
    <w:rsid w:val="00052A97"/>
    <w:rsid w:val="00056C20"/>
    <w:rsid w:val="0007198D"/>
    <w:rsid w:val="000728B9"/>
    <w:rsid w:val="00075447"/>
    <w:rsid w:val="0008388B"/>
    <w:rsid w:val="00083B7B"/>
    <w:rsid w:val="00083B93"/>
    <w:rsid w:val="00084C9A"/>
    <w:rsid w:val="00086C33"/>
    <w:rsid w:val="00091384"/>
    <w:rsid w:val="00092805"/>
    <w:rsid w:val="00093595"/>
    <w:rsid w:val="00094832"/>
    <w:rsid w:val="0009585F"/>
    <w:rsid w:val="00095F27"/>
    <w:rsid w:val="00096BF7"/>
    <w:rsid w:val="000A11E3"/>
    <w:rsid w:val="000A3014"/>
    <w:rsid w:val="000A432B"/>
    <w:rsid w:val="000A4442"/>
    <w:rsid w:val="000A7428"/>
    <w:rsid w:val="000B0167"/>
    <w:rsid w:val="000B13C8"/>
    <w:rsid w:val="000B3633"/>
    <w:rsid w:val="000B39D3"/>
    <w:rsid w:val="000B3F6F"/>
    <w:rsid w:val="000B7EC5"/>
    <w:rsid w:val="000C29B1"/>
    <w:rsid w:val="000D4002"/>
    <w:rsid w:val="000D4841"/>
    <w:rsid w:val="000D4DBC"/>
    <w:rsid w:val="000E184A"/>
    <w:rsid w:val="000E37F3"/>
    <w:rsid w:val="000F32A8"/>
    <w:rsid w:val="000F5F88"/>
    <w:rsid w:val="000F7E4C"/>
    <w:rsid w:val="001038D1"/>
    <w:rsid w:val="0010571E"/>
    <w:rsid w:val="00106769"/>
    <w:rsid w:val="00110890"/>
    <w:rsid w:val="0011109D"/>
    <w:rsid w:val="00112F7A"/>
    <w:rsid w:val="00113797"/>
    <w:rsid w:val="00117D79"/>
    <w:rsid w:val="00125A72"/>
    <w:rsid w:val="001303B2"/>
    <w:rsid w:val="00130D1C"/>
    <w:rsid w:val="00131A7C"/>
    <w:rsid w:val="00133F53"/>
    <w:rsid w:val="00136C3D"/>
    <w:rsid w:val="0013782C"/>
    <w:rsid w:val="001411CD"/>
    <w:rsid w:val="00142744"/>
    <w:rsid w:val="0014682B"/>
    <w:rsid w:val="00147209"/>
    <w:rsid w:val="001505C7"/>
    <w:rsid w:val="00153338"/>
    <w:rsid w:val="00156C04"/>
    <w:rsid w:val="00165B27"/>
    <w:rsid w:val="00167194"/>
    <w:rsid w:val="00177BA5"/>
    <w:rsid w:val="00184D96"/>
    <w:rsid w:val="00192B33"/>
    <w:rsid w:val="00193674"/>
    <w:rsid w:val="00196C6F"/>
    <w:rsid w:val="00196DCC"/>
    <w:rsid w:val="001A0909"/>
    <w:rsid w:val="001A2EA3"/>
    <w:rsid w:val="001A7BC2"/>
    <w:rsid w:val="001B5C8E"/>
    <w:rsid w:val="001C2FEA"/>
    <w:rsid w:val="001C5724"/>
    <w:rsid w:val="001D283F"/>
    <w:rsid w:val="001D2E9D"/>
    <w:rsid w:val="001D2FBF"/>
    <w:rsid w:val="001D7FA2"/>
    <w:rsid w:val="001E04F4"/>
    <w:rsid w:val="001E0E1D"/>
    <w:rsid w:val="001E3619"/>
    <w:rsid w:val="001E6308"/>
    <w:rsid w:val="001E635D"/>
    <w:rsid w:val="001E7B0D"/>
    <w:rsid w:val="001E7ECE"/>
    <w:rsid w:val="001F286D"/>
    <w:rsid w:val="001F5A32"/>
    <w:rsid w:val="0020009D"/>
    <w:rsid w:val="00202223"/>
    <w:rsid w:val="00205859"/>
    <w:rsid w:val="00221A8C"/>
    <w:rsid w:val="00227ABC"/>
    <w:rsid w:val="0023176E"/>
    <w:rsid w:val="00237005"/>
    <w:rsid w:val="00253C26"/>
    <w:rsid w:val="00254DA1"/>
    <w:rsid w:val="00256752"/>
    <w:rsid w:val="0027127B"/>
    <w:rsid w:val="002763CA"/>
    <w:rsid w:val="002816ED"/>
    <w:rsid w:val="00281B92"/>
    <w:rsid w:val="0028357E"/>
    <w:rsid w:val="00284734"/>
    <w:rsid w:val="002917ED"/>
    <w:rsid w:val="00296080"/>
    <w:rsid w:val="002967E2"/>
    <w:rsid w:val="00297390"/>
    <w:rsid w:val="002A068A"/>
    <w:rsid w:val="002A1E4E"/>
    <w:rsid w:val="002A46D5"/>
    <w:rsid w:val="002A599D"/>
    <w:rsid w:val="002B046B"/>
    <w:rsid w:val="002B0697"/>
    <w:rsid w:val="002B1320"/>
    <w:rsid w:val="002B4273"/>
    <w:rsid w:val="002B4B7C"/>
    <w:rsid w:val="002B6A13"/>
    <w:rsid w:val="002B77A5"/>
    <w:rsid w:val="002C0C6F"/>
    <w:rsid w:val="002C18FF"/>
    <w:rsid w:val="002C63E1"/>
    <w:rsid w:val="002D441D"/>
    <w:rsid w:val="002D55A3"/>
    <w:rsid w:val="002E10A6"/>
    <w:rsid w:val="002F31C6"/>
    <w:rsid w:val="003056D2"/>
    <w:rsid w:val="003074D3"/>
    <w:rsid w:val="00307546"/>
    <w:rsid w:val="00313D2B"/>
    <w:rsid w:val="00317FC4"/>
    <w:rsid w:val="00330EFC"/>
    <w:rsid w:val="0033728F"/>
    <w:rsid w:val="00340F63"/>
    <w:rsid w:val="003447E9"/>
    <w:rsid w:val="00345370"/>
    <w:rsid w:val="00346625"/>
    <w:rsid w:val="00346B46"/>
    <w:rsid w:val="00347104"/>
    <w:rsid w:val="00347316"/>
    <w:rsid w:val="003530E5"/>
    <w:rsid w:val="00357020"/>
    <w:rsid w:val="0036023B"/>
    <w:rsid w:val="00363D42"/>
    <w:rsid w:val="00364878"/>
    <w:rsid w:val="00365911"/>
    <w:rsid w:val="0036723C"/>
    <w:rsid w:val="00373202"/>
    <w:rsid w:val="00377D2A"/>
    <w:rsid w:val="00383357"/>
    <w:rsid w:val="00385C9F"/>
    <w:rsid w:val="003878D8"/>
    <w:rsid w:val="003900D6"/>
    <w:rsid w:val="003913A9"/>
    <w:rsid w:val="003918FB"/>
    <w:rsid w:val="0039525C"/>
    <w:rsid w:val="00395A83"/>
    <w:rsid w:val="003B119B"/>
    <w:rsid w:val="003B2936"/>
    <w:rsid w:val="003B2D98"/>
    <w:rsid w:val="003B4426"/>
    <w:rsid w:val="003B63CE"/>
    <w:rsid w:val="003B63E5"/>
    <w:rsid w:val="003B7D3B"/>
    <w:rsid w:val="003C11C3"/>
    <w:rsid w:val="003C2315"/>
    <w:rsid w:val="003C3993"/>
    <w:rsid w:val="003C7E83"/>
    <w:rsid w:val="003D2961"/>
    <w:rsid w:val="003D5109"/>
    <w:rsid w:val="003D5C92"/>
    <w:rsid w:val="003E2A5A"/>
    <w:rsid w:val="003E4693"/>
    <w:rsid w:val="003E71C9"/>
    <w:rsid w:val="003E762F"/>
    <w:rsid w:val="003F496E"/>
    <w:rsid w:val="003F73FE"/>
    <w:rsid w:val="00402C96"/>
    <w:rsid w:val="004035A0"/>
    <w:rsid w:val="004128AC"/>
    <w:rsid w:val="00414B23"/>
    <w:rsid w:val="00415FEE"/>
    <w:rsid w:val="00425740"/>
    <w:rsid w:val="00431250"/>
    <w:rsid w:val="0043348F"/>
    <w:rsid w:val="004402C3"/>
    <w:rsid w:val="004428C6"/>
    <w:rsid w:val="00442DD4"/>
    <w:rsid w:val="00442EF4"/>
    <w:rsid w:val="00447714"/>
    <w:rsid w:val="00460702"/>
    <w:rsid w:val="00461BA6"/>
    <w:rsid w:val="004628A1"/>
    <w:rsid w:val="00462DB3"/>
    <w:rsid w:val="00462F83"/>
    <w:rsid w:val="004636E8"/>
    <w:rsid w:val="004636ED"/>
    <w:rsid w:val="00470503"/>
    <w:rsid w:val="00470EA4"/>
    <w:rsid w:val="004723DB"/>
    <w:rsid w:val="00475BF5"/>
    <w:rsid w:val="0047635D"/>
    <w:rsid w:val="00482EDF"/>
    <w:rsid w:val="0048601A"/>
    <w:rsid w:val="0049182D"/>
    <w:rsid w:val="004967F2"/>
    <w:rsid w:val="004A06F4"/>
    <w:rsid w:val="004A1C83"/>
    <w:rsid w:val="004A3A4F"/>
    <w:rsid w:val="004A5C60"/>
    <w:rsid w:val="004A6C28"/>
    <w:rsid w:val="004A70BC"/>
    <w:rsid w:val="004B036A"/>
    <w:rsid w:val="004C1620"/>
    <w:rsid w:val="004C29A6"/>
    <w:rsid w:val="004C2D35"/>
    <w:rsid w:val="004C4068"/>
    <w:rsid w:val="004C59CD"/>
    <w:rsid w:val="004C6F52"/>
    <w:rsid w:val="004D392A"/>
    <w:rsid w:val="004D479B"/>
    <w:rsid w:val="004D4A33"/>
    <w:rsid w:val="004D4D67"/>
    <w:rsid w:val="004D592D"/>
    <w:rsid w:val="004D643D"/>
    <w:rsid w:val="004D7158"/>
    <w:rsid w:val="004E19C2"/>
    <w:rsid w:val="004E19D1"/>
    <w:rsid w:val="004E1BB0"/>
    <w:rsid w:val="004E488B"/>
    <w:rsid w:val="004F6E65"/>
    <w:rsid w:val="005004E4"/>
    <w:rsid w:val="0050240C"/>
    <w:rsid w:val="00505E82"/>
    <w:rsid w:val="00507AA6"/>
    <w:rsid w:val="00510A5C"/>
    <w:rsid w:val="00513B88"/>
    <w:rsid w:val="00516690"/>
    <w:rsid w:val="005171D3"/>
    <w:rsid w:val="0052019F"/>
    <w:rsid w:val="005241F0"/>
    <w:rsid w:val="00525907"/>
    <w:rsid w:val="00525E78"/>
    <w:rsid w:val="00530949"/>
    <w:rsid w:val="00531531"/>
    <w:rsid w:val="00534EC8"/>
    <w:rsid w:val="00535C0A"/>
    <w:rsid w:val="00540980"/>
    <w:rsid w:val="005432C8"/>
    <w:rsid w:val="00547D3A"/>
    <w:rsid w:val="00562610"/>
    <w:rsid w:val="00564327"/>
    <w:rsid w:val="00566548"/>
    <w:rsid w:val="00575959"/>
    <w:rsid w:val="00580D8A"/>
    <w:rsid w:val="00583849"/>
    <w:rsid w:val="00585154"/>
    <w:rsid w:val="005858E5"/>
    <w:rsid w:val="005861A3"/>
    <w:rsid w:val="00587B47"/>
    <w:rsid w:val="00591E01"/>
    <w:rsid w:val="005B05DF"/>
    <w:rsid w:val="005B0F9C"/>
    <w:rsid w:val="005B1D5B"/>
    <w:rsid w:val="005C03E6"/>
    <w:rsid w:val="005C0A78"/>
    <w:rsid w:val="005C0BCD"/>
    <w:rsid w:val="005C267F"/>
    <w:rsid w:val="005C2CC4"/>
    <w:rsid w:val="005C42F4"/>
    <w:rsid w:val="005D00F7"/>
    <w:rsid w:val="005D418B"/>
    <w:rsid w:val="005D50CE"/>
    <w:rsid w:val="005D5D96"/>
    <w:rsid w:val="005E0A6E"/>
    <w:rsid w:val="005E1505"/>
    <w:rsid w:val="005E3FD4"/>
    <w:rsid w:val="005F26C1"/>
    <w:rsid w:val="005F2EF2"/>
    <w:rsid w:val="005F657C"/>
    <w:rsid w:val="005F74DC"/>
    <w:rsid w:val="00602E8E"/>
    <w:rsid w:val="00610415"/>
    <w:rsid w:val="00611E35"/>
    <w:rsid w:val="00616576"/>
    <w:rsid w:val="00620FD1"/>
    <w:rsid w:val="00621021"/>
    <w:rsid w:val="006323F4"/>
    <w:rsid w:val="0063417A"/>
    <w:rsid w:val="0063586E"/>
    <w:rsid w:val="00636377"/>
    <w:rsid w:val="006400A9"/>
    <w:rsid w:val="00643D7A"/>
    <w:rsid w:val="0065120A"/>
    <w:rsid w:val="006520BD"/>
    <w:rsid w:val="00653922"/>
    <w:rsid w:val="00662B43"/>
    <w:rsid w:val="006632C9"/>
    <w:rsid w:val="006656AD"/>
    <w:rsid w:val="00671609"/>
    <w:rsid w:val="00675FD2"/>
    <w:rsid w:val="00680508"/>
    <w:rsid w:val="00693AFE"/>
    <w:rsid w:val="006A200D"/>
    <w:rsid w:val="006A6825"/>
    <w:rsid w:val="006B4136"/>
    <w:rsid w:val="006C3407"/>
    <w:rsid w:val="006C3FBA"/>
    <w:rsid w:val="006C7BBD"/>
    <w:rsid w:val="006D08F2"/>
    <w:rsid w:val="006D727E"/>
    <w:rsid w:val="006E0272"/>
    <w:rsid w:val="006E2437"/>
    <w:rsid w:val="006E5724"/>
    <w:rsid w:val="006E5743"/>
    <w:rsid w:val="006E577D"/>
    <w:rsid w:val="00702ACD"/>
    <w:rsid w:val="00705917"/>
    <w:rsid w:val="00707FAD"/>
    <w:rsid w:val="007132D2"/>
    <w:rsid w:val="007137A5"/>
    <w:rsid w:val="00714E42"/>
    <w:rsid w:val="007172C8"/>
    <w:rsid w:val="00720581"/>
    <w:rsid w:val="00720C80"/>
    <w:rsid w:val="007213E2"/>
    <w:rsid w:val="00722296"/>
    <w:rsid w:val="00724300"/>
    <w:rsid w:val="00725553"/>
    <w:rsid w:val="00726833"/>
    <w:rsid w:val="0073483F"/>
    <w:rsid w:val="007428F5"/>
    <w:rsid w:val="00745B4E"/>
    <w:rsid w:val="00745C55"/>
    <w:rsid w:val="00746DF6"/>
    <w:rsid w:val="007470C6"/>
    <w:rsid w:val="0075070F"/>
    <w:rsid w:val="0075360D"/>
    <w:rsid w:val="00755FAD"/>
    <w:rsid w:val="007608A1"/>
    <w:rsid w:val="00763162"/>
    <w:rsid w:val="007667EC"/>
    <w:rsid w:val="00774728"/>
    <w:rsid w:val="00776432"/>
    <w:rsid w:val="007771AD"/>
    <w:rsid w:val="00784256"/>
    <w:rsid w:val="0078760C"/>
    <w:rsid w:val="00793639"/>
    <w:rsid w:val="00796275"/>
    <w:rsid w:val="00796DEB"/>
    <w:rsid w:val="007A3091"/>
    <w:rsid w:val="007A59FC"/>
    <w:rsid w:val="007B0DA4"/>
    <w:rsid w:val="007B7F2C"/>
    <w:rsid w:val="007C3112"/>
    <w:rsid w:val="007C574A"/>
    <w:rsid w:val="007D172B"/>
    <w:rsid w:val="007E09CF"/>
    <w:rsid w:val="007E49AC"/>
    <w:rsid w:val="007F4CF6"/>
    <w:rsid w:val="008063B0"/>
    <w:rsid w:val="00806E9E"/>
    <w:rsid w:val="008114EB"/>
    <w:rsid w:val="00826848"/>
    <w:rsid w:val="00827834"/>
    <w:rsid w:val="0083552E"/>
    <w:rsid w:val="00835BA7"/>
    <w:rsid w:val="00836157"/>
    <w:rsid w:val="00836B0C"/>
    <w:rsid w:val="00845742"/>
    <w:rsid w:val="00847212"/>
    <w:rsid w:val="008529EA"/>
    <w:rsid w:val="00852F84"/>
    <w:rsid w:val="00855FFE"/>
    <w:rsid w:val="0085737B"/>
    <w:rsid w:val="00860608"/>
    <w:rsid w:val="00867DB2"/>
    <w:rsid w:val="0087108B"/>
    <w:rsid w:val="00873A35"/>
    <w:rsid w:val="00873F17"/>
    <w:rsid w:val="0087450D"/>
    <w:rsid w:val="00874949"/>
    <w:rsid w:val="008779F0"/>
    <w:rsid w:val="0088026B"/>
    <w:rsid w:val="00881259"/>
    <w:rsid w:val="00886D65"/>
    <w:rsid w:val="00890E0E"/>
    <w:rsid w:val="00893C4F"/>
    <w:rsid w:val="00894D85"/>
    <w:rsid w:val="00895DB8"/>
    <w:rsid w:val="00895DDF"/>
    <w:rsid w:val="00896614"/>
    <w:rsid w:val="008977F7"/>
    <w:rsid w:val="008A230E"/>
    <w:rsid w:val="008A55B8"/>
    <w:rsid w:val="008B0D66"/>
    <w:rsid w:val="008B137B"/>
    <w:rsid w:val="008B6055"/>
    <w:rsid w:val="008B7BCB"/>
    <w:rsid w:val="008C1D23"/>
    <w:rsid w:val="008C543F"/>
    <w:rsid w:val="008C7F1B"/>
    <w:rsid w:val="008D5958"/>
    <w:rsid w:val="008D5B11"/>
    <w:rsid w:val="008E1E71"/>
    <w:rsid w:val="008E2199"/>
    <w:rsid w:val="008E53F4"/>
    <w:rsid w:val="008E6B95"/>
    <w:rsid w:val="008F380F"/>
    <w:rsid w:val="008F3C87"/>
    <w:rsid w:val="008F7A1B"/>
    <w:rsid w:val="00902137"/>
    <w:rsid w:val="009134F0"/>
    <w:rsid w:val="0092043D"/>
    <w:rsid w:val="00920525"/>
    <w:rsid w:val="00923412"/>
    <w:rsid w:val="00927424"/>
    <w:rsid w:val="00931F5B"/>
    <w:rsid w:val="009336AB"/>
    <w:rsid w:val="0093427E"/>
    <w:rsid w:val="00937035"/>
    <w:rsid w:val="00942D51"/>
    <w:rsid w:val="009505D9"/>
    <w:rsid w:val="00950852"/>
    <w:rsid w:val="0095485B"/>
    <w:rsid w:val="00956314"/>
    <w:rsid w:val="009649AE"/>
    <w:rsid w:val="00965CCC"/>
    <w:rsid w:val="0097566A"/>
    <w:rsid w:val="00976325"/>
    <w:rsid w:val="00981E5F"/>
    <w:rsid w:val="00991A4B"/>
    <w:rsid w:val="0099394D"/>
    <w:rsid w:val="009939C7"/>
    <w:rsid w:val="00997989"/>
    <w:rsid w:val="009A041A"/>
    <w:rsid w:val="009A2776"/>
    <w:rsid w:val="009A39B4"/>
    <w:rsid w:val="009A7BE3"/>
    <w:rsid w:val="009A7DBF"/>
    <w:rsid w:val="009B0008"/>
    <w:rsid w:val="009B14EE"/>
    <w:rsid w:val="009C1E7C"/>
    <w:rsid w:val="009C35D1"/>
    <w:rsid w:val="009C7C4A"/>
    <w:rsid w:val="009D054C"/>
    <w:rsid w:val="009E410F"/>
    <w:rsid w:val="009F57D4"/>
    <w:rsid w:val="009F6551"/>
    <w:rsid w:val="009F6F4D"/>
    <w:rsid w:val="00A00181"/>
    <w:rsid w:val="00A03A99"/>
    <w:rsid w:val="00A13762"/>
    <w:rsid w:val="00A14B3C"/>
    <w:rsid w:val="00A14F2D"/>
    <w:rsid w:val="00A15F7A"/>
    <w:rsid w:val="00A17035"/>
    <w:rsid w:val="00A17500"/>
    <w:rsid w:val="00A209E4"/>
    <w:rsid w:val="00A22424"/>
    <w:rsid w:val="00A22B75"/>
    <w:rsid w:val="00A2420A"/>
    <w:rsid w:val="00A26959"/>
    <w:rsid w:val="00A317E9"/>
    <w:rsid w:val="00A32120"/>
    <w:rsid w:val="00A32543"/>
    <w:rsid w:val="00A327EC"/>
    <w:rsid w:val="00A35A81"/>
    <w:rsid w:val="00A35F44"/>
    <w:rsid w:val="00A36E53"/>
    <w:rsid w:val="00A4005E"/>
    <w:rsid w:val="00A41F73"/>
    <w:rsid w:val="00A46A67"/>
    <w:rsid w:val="00A53540"/>
    <w:rsid w:val="00A55761"/>
    <w:rsid w:val="00A57A9C"/>
    <w:rsid w:val="00A6029F"/>
    <w:rsid w:val="00A64A09"/>
    <w:rsid w:val="00A6622B"/>
    <w:rsid w:val="00A72628"/>
    <w:rsid w:val="00A751BC"/>
    <w:rsid w:val="00A85EFC"/>
    <w:rsid w:val="00A8792E"/>
    <w:rsid w:val="00A91DA4"/>
    <w:rsid w:val="00A92F08"/>
    <w:rsid w:val="00A94CAD"/>
    <w:rsid w:val="00AA1AE5"/>
    <w:rsid w:val="00AB1653"/>
    <w:rsid w:val="00AB2AEC"/>
    <w:rsid w:val="00AB32B2"/>
    <w:rsid w:val="00AB5292"/>
    <w:rsid w:val="00AB5535"/>
    <w:rsid w:val="00AB7980"/>
    <w:rsid w:val="00AC4843"/>
    <w:rsid w:val="00AC6DAF"/>
    <w:rsid w:val="00AD27F3"/>
    <w:rsid w:val="00AD2C1B"/>
    <w:rsid w:val="00AD3349"/>
    <w:rsid w:val="00AD58B6"/>
    <w:rsid w:val="00AD5A29"/>
    <w:rsid w:val="00AE0F48"/>
    <w:rsid w:val="00AE17DC"/>
    <w:rsid w:val="00AF509A"/>
    <w:rsid w:val="00B04180"/>
    <w:rsid w:val="00B12281"/>
    <w:rsid w:val="00B145F1"/>
    <w:rsid w:val="00B20037"/>
    <w:rsid w:val="00B25500"/>
    <w:rsid w:val="00B25508"/>
    <w:rsid w:val="00B31FA6"/>
    <w:rsid w:val="00B35CA5"/>
    <w:rsid w:val="00B40612"/>
    <w:rsid w:val="00B43DDE"/>
    <w:rsid w:val="00B4449D"/>
    <w:rsid w:val="00B45425"/>
    <w:rsid w:val="00B50036"/>
    <w:rsid w:val="00B5036B"/>
    <w:rsid w:val="00B602B0"/>
    <w:rsid w:val="00B61FF3"/>
    <w:rsid w:val="00B642A0"/>
    <w:rsid w:val="00B66614"/>
    <w:rsid w:val="00B67920"/>
    <w:rsid w:val="00B76301"/>
    <w:rsid w:val="00B768EB"/>
    <w:rsid w:val="00B82267"/>
    <w:rsid w:val="00B829DC"/>
    <w:rsid w:val="00B82E91"/>
    <w:rsid w:val="00B96E79"/>
    <w:rsid w:val="00BA5065"/>
    <w:rsid w:val="00BA6F35"/>
    <w:rsid w:val="00BA7E07"/>
    <w:rsid w:val="00BB4F50"/>
    <w:rsid w:val="00BB5DF0"/>
    <w:rsid w:val="00BB7F26"/>
    <w:rsid w:val="00BC0293"/>
    <w:rsid w:val="00BC2184"/>
    <w:rsid w:val="00BC2AC8"/>
    <w:rsid w:val="00BC333B"/>
    <w:rsid w:val="00BC5286"/>
    <w:rsid w:val="00BC7681"/>
    <w:rsid w:val="00BD000C"/>
    <w:rsid w:val="00BD0F70"/>
    <w:rsid w:val="00BD2CCD"/>
    <w:rsid w:val="00BD47C9"/>
    <w:rsid w:val="00BD7489"/>
    <w:rsid w:val="00BE05C4"/>
    <w:rsid w:val="00C044E2"/>
    <w:rsid w:val="00C05F8F"/>
    <w:rsid w:val="00C10662"/>
    <w:rsid w:val="00C11C3D"/>
    <w:rsid w:val="00C133E8"/>
    <w:rsid w:val="00C228BF"/>
    <w:rsid w:val="00C24AB4"/>
    <w:rsid w:val="00C2585E"/>
    <w:rsid w:val="00C27A49"/>
    <w:rsid w:val="00C3012E"/>
    <w:rsid w:val="00C30D62"/>
    <w:rsid w:val="00C31C66"/>
    <w:rsid w:val="00C31D56"/>
    <w:rsid w:val="00C3375A"/>
    <w:rsid w:val="00C35351"/>
    <w:rsid w:val="00C35EDD"/>
    <w:rsid w:val="00C40199"/>
    <w:rsid w:val="00C4569F"/>
    <w:rsid w:val="00C47567"/>
    <w:rsid w:val="00C50DF5"/>
    <w:rsid w:val="00C57DC6"/>
    <w:rsid w:val="00C61993"/>
    <w:rsid w:val="00C66CC2"/>
    <w:rsid w:val="00C7159B"/>
    <w:rsid w:val="00C72587"/>
    <w:rsid w:val="00C75C45"/>
    <w:rsid w:val="00C82ADB"/>
    <w:rsid w:val="00C8321D"/>
    <w:rsid w:val="00C86A3B"/>
    <w:rsid w:val="00C953A8"/>
    <w:rsid w:val="00C9614F"/>
    <w:rsid w:val="00CA1988"/>
    <w:rsid w:val="00CA206F"/>
    <w:rsid w:val="00CB000A"/>
    <w:rsid w:val="00CB01F7"/>
    <w:rsid w:val="00CB17A6"/>
    <w:rsid w:val="00CB2D6B"/>
    <w:rsid w:val="00CB4333"/>
    <w:rsid w:val="00CC66E9"/>
    <w:rsid w:val="00CC6BEE"/>
    <w:rsid w:val="00CC7C07"/>
    <w:rsid w:val="00CD3A36"/>
    <w:rsid w:val="00CF3651"/>
    <w:rsid w:val="00CF4C8D"/>
    <w:rsid w:val="00CF5B7A"/>
    <w:rsid w:val="00CF5F6F"/>
    <w:rsid w:val="00CF6592"/>
    <w:rsid w:val="00D05AD5"/>
    <w:rsid w:val="00D0609A"/>
    <w:rsid w:val="00D0631A"/>
    <w:rsid w:val="00D06B9E"/>
    <w:rsid w:val="00D071A9"/>
    <w:rsid w:val="00D152F8"/>
    <w:rsid w:val="00D159F6"/>
    <w:rsid w:val="00D16C17"/>
    <w:rsid w:val="00D336A9"/>
    <w:rsid w:val="00D52DE3"/>
    <w:rsid w:val="00D54C7D"/>
    <w:rsid w:val="00D55115"/>
    <w:rsid w:val="00D61C04"/>
    <w:rsid w:val="00D61D10"/>
    <w:rsid w:val="00D64174"/>
    <w:rsid w:val="00D660C2"/>
    <w:rsid w:val="00D66573"/>
    <w:rsid w:val="00D66B82"/>
    <w:rsid w:val="00D70EFE"/>
    <w:rsid w:val="00D7274A"/>
    <w:rsid w:val="00D74EF0"/>
    <w:rsid w:val="00D86F1D"/>
    <w:rsid w:val="00D958FA"/>
    <w:rsid w:val="00D95B43"/>
    <w:rsid w:val="00DA22A1"/>
    <w:rsid w:val="00DB1904"/>
    <w:rsid w:val="00DC00FB"/>
    <w:rsid w:val="00DC1FE6"/>
    <w:rsid w:val="00DC4332"/>
    <w:rsid w:val="00DD1029"/>
    <w:rsid w:val="00DD245B"/>
    <w:rsid w:val="00DD273C"/>
    <w:rsid w:val="00DD43E5"/>
    <w:rsid w:val="00DE1DEC"/>
    <w:rsid w:val="00DE3BAB"/>
    <w:rsid w:val="00DE4744"/>
    <w:rsid w:val="00DF1BDF"/>
    <w:rsid w:val="00DF4D3A"/>
    <w:rsid w:val="00DF577A"/>
    <w:rsid w:val="00DF5D91"/>
    <w:rsid w:val="00E00BEF"/>
    <w:rsid w:val="00E00E8B"/>
    <w:rsid w:val="00E02248"/>
    <w:rsid w:val="00E022F3"/>
    <w:rsid w:val="00E101D3"/>
    <w:rsid w:val="00E10C2F"/>
    <w:rsid w:val="00E1163D"/>
    <w:rsid w:val="00E1615F"/>
    <w:rsid w:val="00E16414"/>
    <w:rsid w:val="00E219C8"/>
    <w:rsid w:val="00E275AF"/>
    <w:rsid w:val="00E30481"/>
    <w:rsid w:val="00E312EF"/>
    <w:rsid w:val="00E33DAD"/>
    <w:rsid w:val="00E34ACB"/>
    <w:rsid w:val="00E37BE4"/>
    <w:rsid w:val="00E37E36"/>
    <w:rsid w:val="00E40951"/>
    <w:rsid w:val="00E409BF"/>
    <w:rsid w:val="00E42689"/>
    <w:rsid w:val="00E437C6"/>
    <w:rsid w:val="00E43CF2"/>
    <w:rsid w:val="00E444C0"/>
    <w:rsid w:val="00E50ABC"/>
    <w:rsid w:val="00E50E3C"/>
    <w:rsid w:val="00E5667E"/>
    <w:rsid w:val="00E60DB5"/>
    <w:rsid w:val="00E61500"/>
    <w:rsid w:val="00E633C1"/>
    <w:rsid w:val="00E723EB"/>
    <w:rsid w:val="00E91EA9"/>
    <w:rsid w:val="00E96E13"/>
    <w:rsid w:val="00EA0C56"/>
    <w:rsid w:val="00EA2677"/>
    <w:rsid w:val="00EA5DB5"/>
    <w:rsid w:val="00EA6B37"/>
    <w:rsid w:val="00EB03F2"/>
    <w:rsid w:val="00EB4ED4"/>
    <w:rsid w:val="00EB4FB9"/>
    <w:rsid w:val="00EC0B8D"/>
    <w:rsid w:val="00EC21E0"/>
    <w:rsid w:val="00EC70B2"/>
    <w:rsid w:val="00ED36E2"/>
    <w:rsid w:val="00ED6A11"/>
    <w:rsid w:val="00ED759D"/>
    <w:rsid w:val="00EE2DC8"/>
    <w:rsid w:val="00EE448E"/>
    <w:rsid w:val="00EE594A"/>
    <w:rsid w:val="00EE7211"/>
    <w:rsid w:val="00EE7558"/>
    <w:rsid w:val="00EF1AE2"/>
    <w:rsid w:val="00EF6A5D"/>
    <w:rsid w:val="00EF7C25"/>
    <w:rsid w:val="00F006A9"/>
    <w:rsid w:val="00F03B58"/>
    <w:rsid w:val="00F05DB9"/>
    <w:rsid w:val="00F075E9"/>
    <w:rsid w:val="00F07D41"/>
    <w:rsid w:val="00F126BD"/>
    <w:rsid w:val="00F127F4"/>
    <w:rsid w:val="00F24AAF"/>
    <w:rsid w:val="00F263FD"/>
    <w:rsid w:val="00F26EFE"/>
    <w:rsid w:val="00F351B9"/>
    <w:rsid w:val="00F37B95"/>
    <w:rsid w:val="00F40BEA"/>
    <w:rsid w:val="00F4133C"/>
    <w:rsid w:val="00F5275E"/>
    <w:rsid w:val="00F55A1F"/>
    <w:rsid w:val="00F60DE2"/>
    <w:rsid w:val="00F61C67"/>
    <w:rsid w:val="00F709C0"/>
    <w:rsid w:val="00F744ED"/>
    <w:rsid w:val="00F74726"/>
    <w:rsid w:val="00F75913"/>
    <w:rsid w:val="00F75D36"/>
    <w:rsid w:val="00F84A3D"/>
    <w:rsid w:val="00F87145"/>
    <w:rsid w:val="00F90093"/>
    <w:rsid w:val="00F91743"/>
    <w:rsid w:val="00F92844"/>
    <w:rsid w:val="00F93E8E"/>
    <w:rsid w:val="00FA087A"/>
    <w:rsid w:val="00FA7EDD"/>
    <w:rsid w:val="00FB1743"/>
    <w:rsid w:val="00FB313B"/>
    <w:rsid w:val="00FB35BF"/>
    <w:rsid w:val="00FB472A"/>
    <w:rsid w:val="00FB6A9F"/>
    <w:rsid w:val="00FB7F54"/>
    <w:rsid w:val="00FC2EFF"/>
    <w:rsid w:val="00FC78BD"/>
    <w:rsid w:val="00FD1E2C"/>
    <w:rsid w:val="00FD21E6"/>
    <w:rsid w:val="00FD24B3"/>
    <w:rsid w:val="00FD330C"/>
    <w:rsid w:val="00FD483D"/>
    <w:rsid w:val="00FD74ED"/>
    <w:rsid w:val="00FE0660"/>
    <w:rsid w:val="00FE2B24"/>
    <w:rsid w:val="00FE3AE5"/>
    <w:rsid w:val="00FE3DBA"/>
    <w:rsid w:val="00FF3C19"/>
    <w:rsid w:val="00FF5FC6"/>
    <w:rsid w:val="00FF68D2"/>
    <w:rsid w:val="00FF76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4337"/>
    <o:shapelayout v:ext="edit">
      <o:idmap v:ext="edit" data="1"/>
    </o:shapelayout>
  </w:shapeDefaults>
  <w:decimalSymbol w:val="."/>
  <w:listSeparator w:val=","/>
  <w14:docId w14:val="4E8B8FD9"/>
  <w15:chartTrackingRefBased/>
  <w15:docId w15:val="{0E647C86-A03E-41CF-BFC1-B4E2179C5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qFormat/>
    <w:pPr>
      <w:spacing w:after="60"/>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character" w:styleId="PageNumber">
    <w:name w:val="page number"/>
    <w:basedOn w:val="DefaultParagraphFont"/>
  </w:style>
  <w:style w:type="paragraph" w:customStyle="1" w:styleId="Para1">
    <w:name w:val="Para 1"/>
    <w:basedOn w:val="Normal"/>
    <w:link w:val="Para1CharChar"/>
    <w:pPr>
      <w:numPr>
        <w:numId w:val="3"/>
      </w:numPr>
      <w:spacing w:after="120" w:line="300" w:lineRule="atLeast"/>
    </w:pPr>
  </w:style>
  <w:style w:type="paragraph" w:customStyle="1" w:styleId="Para2">
    <w:name w:val="Para 2"/>
    <w:basedOn w:val="Para1"/>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link w:val="Para5Char"/>
    <w:qFormat/>
    <w:pPr>
      <w:numPr>
        <w:numId w:val="4"/>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link w:val="TitlePagetextChar"/>
    <w:qFormat/>
    <w:pPr>
      <w:spacing w:before="80" w:after="100"/>
    </w:pPr>
  </w:style>
  <w:style w:type="paragraph" w:styleId="Header">
    <w:name w:val="header"/>
    <w:basedOn w:val="Normal"/>
    <w:pPr>
      <w:tabs>
        <w:tab w:val="center" w:pos="4320"/>
        <w:tab w:val="right" w:pos="8640"/>
      </w:tabs>
    </w:pPr>
  </w:style>
  <w:style w:type="paragraph" w:customStyle="1" w:styleId="NumberedOrder">
    <w:name w:val="Numbered Order"/>
    <w:basedOn w:val="Normal"/>
    <w:pPr>
      <w:spacing w:after="120" w:line="300" w:lineRule="atLeast"/>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pPr>
      <w:spacing w:after="120"/>
    </w:pPr>
  </w:style>
  <w:style w:type="paragraph" w:customStyle="1" w:styleId="Order2">
    <w:name w:val="Order 2"/>
    <w:basedOn w:val="Order1"/>
    <w:link w:val="Order2Char1"/>
    <w:qFormat/>
    <w:pPr>
      <w:numPr>
        <w:numId w:val="9"/>
      </w:numPr>
      <w:spacing w:line="300" w:lineRule="atLeast"/>
    </w:pPr>
  </w:style>
  <w:style w:type="paragraph" w:customStyle="1" w:styleId="StyleTitlePagetextRight">
    <w:name w:val="Style Title Page text + Right"/>
    <w:basedOn w:val="TitlePagetext"/>
    <w:pPr>
      <w:jc w:val="right"/>
    </w:pPr>
    <w:rPr>
      <w:szCs w:val="20"/>
    </w:rPr>
  </w:style>
  <w:style w:type="paragraph" w:customStyle="1" w:styleId="Para3">
    <w:name w:val="Para 3"/>
    <w:basedOn w:val="Para2"/>
    <w:pPr>
      <w:numPr>
        <w:numId w:val="2"/>
      </w:numPr>
    </w:pPr>
  </w:style>
  <w:style w:type="table" w:styleId="TableGrid">
    <w:name w:val="Table Grid"/>
    <w:basedOn w:val="TableNormal"/>
    <w:rsid w:val="00A64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Quote2"/>
    <w:pPr>
      <w:numPr>
        <w:numId w:val="5"/>
      </w:numPr>
    </w:pPr>
  </w:style>
  <w:style w:type="paragraph" w:customStyle="1" w:styleId="TitlePage3">
    <w:name w:val="Title Page 3"/>
    <w:basedOn w:val="TitlePage2"/>
    <w:pPr>
      <w:spacing w:before="20" w:after="0"/>
      <w:jc w:val="right"/>
    </w:pPr>
    <w:rPr>
      <w:b w:val="0"/>
      <w:sz w:val="16"/>
    </w:rPr>
  </w:style>
  <w:style w:type="paragraph" w:styleId="DocumentMap">
    <w:name w:val="Document Map"/>
    <w:basedOn w:val="Normal"/>
    <w:semiHidden/>
    <w:rsid w:val="00C7159B"/>
    <w:pPr>
      <w:shd w:val="clear" w:color="auto" w:fill="000080"/>
    </w:pPr>
    <w:rPr>
      <w:rFonts w:ascii="Tahoma" w:hAnsi="Tahoma" w:cs="Tahoma"/>
      <w:sz w:val="20"/>
      <w:szCs w:val="20"/>
    </w:rPr>
  </w:style>
  <w:style w:type="paragraph" w:customStyle="1" w:styleId="Para1Style1">
    <w:name w:val="Para 1 Style1"/>
    <w:basedOn w:val="Para1"/>
    <w:rsid w:val="00F03B58"/>
    <w:rPr>
      <w:rFonts w:ascii="Arial" w:hAnsi="Arial"/>
      <w:sz w:val="22"/>
      <w:szCs w:val="24"/>
      <w:lang w:eastAsia="en-AU"/>
    </w:rPr>
  </w:style>
  <w:style w:type="character" w:styleId="Hyperlink">
    <w:name w:val="Hyperlink"/>
    <w:rsid w:val="00722296"/>
    <w:rPr>
      <w:color w:val="0000FF"/>
      <w:u w:val="single"/>
    </w:rPr>
  </w:style>
  <w:style w:type="character" w:customStyle="1" w:styleId="FooterChar">
    <w:name w:val="Footer Char"/>
    <w:link w:val="Footer"/>
    <w:locked/>
    <w:rsid w:val="00CB4333"/>
    <w:rPr>
      <w:rFonts w:ascii="Arial" w:hAnsi="Arial"/>
      <w:lang w:val="en-AU" w:eastAsia="en-US" w:bidi="ar-SA"/>
    </w:rPr>
  </w:style>
  <w:style w:type="paragraph" w:styleId="BalloonText">
    <w:name w:val="Balloon Text"/>
    <w:basedOn w:val="Normal"/>
    <w:semiHidden/>
    <w:rsid w:val="0047635D"/>
    <w:rPr>
      <w:rFonts w:ascii="Tahoma" w:hAnsi="Tahoma" w:cs="Tahoma"/>
      <w:sz w:val="16"/>
      <w:szCs w:val="16"/>
    </w:rPr>
  </w:style>
  <w:style w:type="character" w:customStyle="1" w:styleId="Heading3Char">
    <w:name w:val="Heading 3 Char"/>
    <w:link w:val="Heading3"/>
    <w:rsid w:val="00D55115"/>
    <w:rPr>
      <w:rFonts w:ascii="Arial" w:hAnsi="Arial"/>
      <w:b/>
      <w:bCs/>
      <w:iCs/>
      <w:sz w:val="24"/>
      <w:szCs w:val="24"/>
      <w:lang w:eastAsia="en-US"/>
    </w:rPr>
  </w:style>
  <w:style w:type="character" w:customStyle="1" w:styleId="Heading1Char">
    <w:name w:val="Heading 1 Char"/>
    <w:basedOn w:val="DefaultParagraphFont"/>
    <w:link w:val="Heading1"/>
    <w:rsid w:val="00A26959"/>
    <w:rPr>
      <w:rFonts w:ascii="Arial" w:hAnsi="Arial"/>
      <w:b/>
      <w:bCs/>
      <w:caps/>
      <w:sz w:val="24"/>
      <w:szCs w:val="24"/>
      <w:lang w:eastAsia="en-US"/>
    </w:rPr>
  </w:style>
  <w:style w:type="character" w:customStyle="1" w:styleId="Para5Char">
    <w:name w:val="Para 5 Char"/>
    <w:link w:val="Para5"/>
    <w:rsid w:val="00A26959"/>
    <w:rPr>
      <w:sz w:val="26"/>
      <w:szCs w:val="26"/>
      <w:lang w:eastAsia="en-US"/>
    </w:rPr>
  </w:style>
  <w:style w:type="character" w:customStyle="1" w:styleId="TitlePagetextChar">
    <w:name w:val="Title Page text Char"/>
    <w:link w:val="TitlePagetext"/>
    <w:locked/>
    <w:rsid w:val="005C42F4"/>
    <w:rPr>
      <w:sz w:val="26"/>
      <w:szCs w:val="26"/>
      <w:lang w:eastAsia="en-US"/>
    </w:rPr>
  </w:style>
  <w:style w:type="character" w:customStyle="1" w:styleId="Order2Char1">
    <w:name w:val="Order 2 Char1"/>
    <w:link w:val="Order2"/>
    <w:locked/>
    <w:rsid w:val="005C42F4"/>
    <w:rPr>
      <w:sz w:val="26"/>
      <w:szCs w:val="26"/>
      <w:lang w:eastAsia="en-US"/>
    </w:rPr>
  </w:style>
  <w:style w:type="paragraph" w:styleId="ListParagraph">
    <w:name w:val="List Paragraph"/>
    <w:basedOn w:val="Normal"/>
    <w:uiPriority w:val="34"/>
    <w:qFormat/>
    <w:rsid w:val="00C27A49"/>
    <w:pPr>
      <w:ind w:left="720"/>
    </w:pPr>
    <w:rPr>
      <w:rFonts w:ascii="Arial" w:hAnsi="Arial"/>
      <w:sz w:val="22"/>
      <w:szCs w:val="20"/>
      <w:lang w:eastAsia="en-AU"/>
    </w:rPr>
  </w:style>
  <w:style w:type="character" w:customStyle="1" w:styleId="Para1CharChar">
    <w:name w:val="Para 1 Char Char"/>
    <w:link w:val="Para1"/>
    <w:rsid w:val="00F55A1F"/>
    <w:rPr>
      <w:sz w:val="26"/>
      <w:szCs w:val="26"/>
      <w:lang w:eastAsia="en-US"/>
    </w:rPr>
  </w:style>
  <w:style w:type="paragraph" w:customStyle="1" w:styleId="ReportTemplate">
    <w:name w:val="Report Template"/>
    <w:basedOn w:val="Normal"/>
    <w:link w:val="ReportTemplateChar"/>
    <w:qFormat/>
    <w:rsid w:val="00345370"/>
    <w:pPr>
      <w:jc w:val="both"/>
    </w:pPr>
    <w:rPr>
      <w:rFonts w:ascii="Arial" w:eastAsia="Calibri" w:hAnsi="Arial" w:cs="Arial"/>
      <w:sz w:val="22"/>
      <w:szCs w:val="22"/>
      <w:lang w:val="en-US"/>
    </w:rPr>
  </w:style>
  <w:style w:type="character" w:customStyle="1" w:styleId="ReportTemplateChar">
    <w:name w:val="Report Template Char"/>
    <w:link w:val="ReportTemplate"/>
    <w:rsid w:val="00345370"/>
    <w:rPr>
      <w:rFonts w:ascii="Arial" w:eastAsia="Calibri" w:hAnsi="Arial" w:cs="Arial"/>
      <w:sz w:val="22"/>
      <w:szCs w:val="22"/>
      <w:lang w:val="en-US" w:eastAsia="en-US"/>
    </w:rPr>
  </w:style>
  <w:style w:type="paragraph" w:customStyle="1" w:styleId="Condition">
    <w:name w:val="Condition"/>
    <w:basedOn w:val="Normal"/>
    <w:link w:val="ConditionChar"/>
    <w:qFormat/>
    <w:rsid w:val="00345370"/>
    <w:pPr>
      <w:numPr>
        <w:numId w:val="7"/>
      </w:numPr>
      <w:jc w:val="both"/>
    </w:pPr>
    <w:rPr>
      <w:rFonts w:ascii="Arial" w:hAnsi="Arial" w:cs="Arial"/>
      <w:sz w:val="22"/>
      <w:szCs w:val="22"/>
    </w:rPr>
  </w:style>
  <w:style w:type="paragraph" w:customStyle="1" w:styleId="Sub-condition">
    <w:name w:val="Sub-condition"/>
    <w:basedOn w:val="ReportTemplate"/>
    <w:link w:val="Sub-conditionChar"/>
    <w:qFormat/>
    <w:rsid w:val="00345370"/>
    <w:pPr>
      <w:numPr>
        <w:numId w:val="8"/>
      </w:numPr>
      <w:ind w:left="1134" w:hanging="567"/>
    </w:pPr>
  </w:style>
  <w:style w:type="character" w:customStyle="1" w:styleId="ConditionChar">
    <w:name w:val="Condition Char"/>
    <w:link w:val="Condition"/>
    <w:rsid w:val="00345370"/>
    <w:rPr>
      <w:rFonts w:ascii="Arial" w:hAnsi="Arial" w:cs="Arial"/>
      <w:sz w:val="22"/>
      <w:szCs w:val="22"/>
      <w:lang w:eastAsia="en-US"/>
    </w:rPr>
  </w:style>
  <w:style w:type="character" w:customStyle="1" w:styleId="Sub-conditionChar">
    <w:name w:val="Sub-condition Char"/>
    <w:link w:val="Sub-condition"/>
    <w:rsid w:val="00345370"/>
    <w:rPr>
      <w:rFonts w:ascii="Arial" w:eastAsia="Calibri" w:hAnsi="Arial" w:cs="Arial"/>
      <w:sz w:val="22"/>
      <w:szCs w:val="22"/>
      <w:lang w:val="en-US" w:eastAsia="en-US"/>
    </w:rPr>
  </w:style>
  <w:style w:type="paragraph" w:customStyle="1" w:styleId="Indented">
    <w:name w:val="Indented"/>
    <w:basedOn w:val="BodyTextIndent"/>
    <w:link w:val="IndentedChar"/>
    <w:qFormat/>
    <w:rsid w:val="00345370"/>
    <w:pPr>
      <w:spacing w:after="0"/>
      <w:ind w:left="567"/>
    </w:pPr>
    <w:rPr>
      <w:rFonts w:ascii="Arial" w:hAnsi="Arial"/>
      <w:sz w:val="22"/>
      <w:szCs w:val="22"/>
      <w:lang w:val="en-US"/>
    </w:rPr>
  </w:style>
  <w:style w:type="character" w:customStyle="1" w:styleId="IndentedChar">
    <w:name w:val="Indented Char"/>
    <w:basedOn w:val="BodyTextIndentChar"/>
    <w:link w:val="Indented"/>
    <w:rsid w:val="00345370"/>
    <w:rPr>
      <w:rFonts w:ascii="Arial" w:hAnsi="Arial"/>
      <w:sz w:val="22"/>
      <w:szCs w:val="22"/>
      <w:lang w:val="en-US" w:eastAsia="en-US"/>
    </w:rPr>
  </w:style>
  <w:style w:type="paragraph" w:customStyle="1" w:styleId="Default">
    <w:name w:val="Default"/>
    <w:rsid w:val="00345370"/>
    <w:pPr>
      <w:autoSpaceDE w:val="0"/>
      <w:autoSpaceDN w:val="0"/>
      <w:adjustRightInd w:val="0"/>
    </w:pPr>
    <w:rPr>
      <w:rFonts w:ascii="Arial" w:hAnsi="Arial" w:cs="Arial"/>
      <w:color w:val="000000"/>
      <w:sz w:val="24"/>
      <w:szCs w:val="24"/>
    </w:rPr>
  </w:style>
  <w:style w:type="paragraph" w:styleId="BodyTextIndent">
    <w:name w:val="Body Text Indent"/>
    <w:basedOn w:val="Normal"/>
    <w:link w:val="BodyTextIndentChar"/>
    <w:rsid w:val="00345370"/>
    <w:pPr>
      <w:spacing w:after="120"/>
      <w:ind w:left="283"/>
    </w:pPr>
  </w:style>
  <w:style w:type="character" w:customStyle="1" w:styleId="BodyTextIndentChar">
    <w:name w:val="Body Text Indent Char"/>
    <w:basedOn w:val="DefaultParagraphFont"/>
    <w:link w:val="BodyTextIndent"/>
    <w:rsid w:val="00345370"/>
    <w:rPr>
      <w:sz w:val="26"/>
      <w:szCs w:val="26"/>
      <w:lang w:eastAsia="en-US"/>
    </w:rPr>
  </w:style>
  <w:style w:type="character" w:customStyle="1" w:styleId="FootnoteTextChar">
    <w:name w:val="Footnote Text Char"/>
    <w:basedOn w:val="DefaultParagraphFont"/>
    <w:link w:val="FootnoteText"/>
    <w:semiHidden/>
    <w:rsid w:val="00FB6A9F"/>
    <w:rPr>
      <w:lang w:eastAsia="en-US"/>
    </w:rPr>
  </w:style>
  <w:style w:type="paragraph" w:customStyle="1" w:styleId="footnotedescription">
    <w:name w:val="footnote description"/>
    <w:next w:val="Normal"/>
    <w:link w:val="footnotedescriptionChar"/>
    <w:hidden/>
    <w:rsid w:val="00EB03F2"/>
    <w:pPr>
      <w:spacing w:line="259" w:lineRule="auto"/>
    </w:pPr>
    <w:rPr>
      <w:rFonts w:ascii="Arial" w:eastAsia="Arial" w:hAnsi="Arial" w:cs="Arial"/>
      <w:color w:val="000000"/>
      <w:szCs w:val="22"/>
    </w:rPr>
  </w:style>
  <w:style w:type="character" w:customStyle="1" w:styleId="footnotedescriptionChar">
    <w:name w:val="footnote description Char"/>
    <w:link w:val="footnotedescription"/>
    <w:rsid w:val="00EB03F2"/>
    <w:rPr>
      <w:rFonts w:ascii="Arial" w:eastAsia="Arial" w:hAnsi="Arial" w:cs="Arial"/>
      <w:color w:val="000000"/>
      <w:szCs w:val="22"/>
    </w:rPr>
  </w:style>
  <w:style w:type="character" w:customStyle="1" w:styleId="footnotemark">
    <w:name w:val="footnote mark"/>
    <w:hidden/>
    <w:rsid w:val="00EB03F2"/>
    <w:rPr>
      <w:rFonts w:ascii="Arial" w:eastAsia="Arial" w:hAnsi="Arial" w:cs="Arial"/>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0796">
      <w:bodyDiv w:val="1"/>
      <w:marLeft w:val="0"/>
      <w:marRight w:val="0"/>
      <w:marTop w:val="0"/>
      <w:marBottom w:val="0"/>
      <w:divBdr>
        <w:top w:val="none" w:sz="0" w:space="0" w:color="auto"/>
        <w:left w:val="none" w:sz="0" w:space="0" w:color="auto"/>
        <w:bottom w:val="none" w:sz="0" w:space="0" w:color="auto"/>
        <w:right w:val="none" w:sz="0" w:space="0" w:color="auto"/>
      </w:divBdr>
    </w:div>
    <w:div w:id="53041173">
      <w:bodyDiv w:val="1"/>
      <w:marLeft w:val="0"/>
      <w:marRight w:val="0"/>
      <w:marTop w:val="0"/>
      <w:marBottom w:val="0"/>
      <w:divBdr>
        <w:top w:val="none" w:sz="0" w:space="0" w:color="auto"/>
        <w:left w:val="none" w:sz="0" w:space="0" w:color="auto"/>
        <w:bottom w:val="none" w:sz="0" w:space="0" w:color="auto"/>
        <w:right w:val="none" w:sz="0" w:space="0" w:color="auto"/>
      </w:divBdr>
    </w:div>
    <w:div w:id="79255668">
      <w:bodyDiv w:val="1"/>
      <w:marLeft w:val="0"/>
      <w:marRight w:val="0"/>
      <w:marTop w:val="0"/>
      <w:marBottom w:val="0"/>
      <w:divBdr>
        <w:top w:val="none" w:sz="0" w:space="0" w:color="auto"/>
        <w:left w:val="none" w:sz="0" w:space="0" w:color="auto"/>
        <w:bottom w:val="none" w:sz="0" w:space="0" w:color="auto"/>
        <w:right w:val="none" w:sz="0" w:space="0" w:color="auto"/>
      </w:divBdr>
    </w:div>
    <w:div w:id="96799500">
      <w:bodyDiv w:val="1"/>
      <w:marLeft w:val="0"/>
      <w:marRight w:val="0"/>
      <w:marTop w:val="0"/>
      <w:marBottom w:val="0"/>
      <w:divBdr>
        <w:top w:val="none" w:sz="0" w:space="0" w:color="auto"/>
        <w:left w:val="none" w:sz="0" w:space="0" w:color="auto"/>
        <w:bottom w:val="none" w:sz="0" w:space="0" w:color="auto"/>
        <w:right w:val="none" w:sz="0" w:space="0" w:color="auto"/>
      </w:divBdr>
    </w:div>
    <w:div w:id="106700328">
      <w:bodyDiv w:val="1"/>
      <w:marLeft w:val="0"/>
      <w:marRight w:val="0"/>
      <w:marTop w:val="0"/>
      <w:marBottom w:val="0"/>
      <w:divBdr>
        <w:top w:val="none" w:sz="0" w:space="0" w:color="auto"/>
        <w:left w:val="none" w:sz="0" w:space="0" w:color="auto"/>
        <w:bottom w:val="none" w:sz="0" w:space="0" w:color="auto"/>
        <w:right w:val="none" w:sz="0" w:space="0" w:color="auto"/>
      </w:divBdr>
    </w:div>
    <w:div w:id="275868414">
      <w:bodyDiv w:val="1"/>
      <w:marLeft w:val="0"/>
      <w:marRight w:val="0"/>
      <w:marTop w:val="0"/>
      <w:marBottom w:val="0"/>
      <w:divBdr>
        <w:top w:val="none" w:sz="0" w:space="0" w:color="auto"/>
        <w:left w:val="none" w:sz="0" w:space="0" w:color="auto"/>
        <w:bottom w:val="none" w:sz="0" w:space="0" w:color="auto"/>
        <w:right w:val="none" w:sz="0" w:space="0" w:color="auto"/>
      </w:divBdr>
    </w:div>
    <w:div w:id="309290955">
      <w:bodyDiv w:val="1"/>
      <w:marLeft w:val="0"/>
      <w:marRight w:val="0"/>
      <w:marTop w:val="0"/>
      <w:marBottom w:val="0"/>
      <w:divBdr>
        <w:top w:val="none" w:sz="0" w:space="0" w:color="auto"/>
        <w:left w:val="none" w:sz="0" w:space="0" w:color="auto"/>
        <w:bottom w:val="none" w:sz="0" w:space="0" w:color="auto"/>
        <w:right w:val="none" w:sz="0" w:space="0" w:color="auto"/>
      </w:divBdr>
    </w:div>
    <w:div w:id="332143861">
      <w:bodyDiv w:val="1"/>
      <w:marLeft w:val="0"/>
      <w:marRight w:val="0"/>
      <w:marTop w:val="0"/>
      <w:marBottom w:val="0"/>
      <w:divBdr>
        <w:top w:val="none" w:sz="0" w:space="0" w:color="auto"/>
        <w:left w:val="none" w:sz="0" w:space="0" w:color="auto"/>
        <w:bottom w:val="none" w:sz="0" w:space="0" w:color="auto"/>
        <w:right w:val="none" w:sz="0" w:space="0" w:color="auto"/>
      </w:divBdr>
    </w:div>
    <w:div w:id="408113671">
      <w:bodyDiv w:val="1"/>
      <w:marLeft w:val="0"/>
      <w:marRight w:val="0"/>
      <w:marTop w:val="0"/>
      <w:marBottom w:val="0"/>
      <w:divBdr>
        <w:top w:val="none" w:sz="0" w:space="0" w:color="auto"/>
        <w:left w:val="none" w:sz="0" w:space="0" w:color="auto"/>
        <w:bottom w:val="none" w:sz="0" w:space="0" w:color="auto"/>
        <w:right w:val="none" w:sz="0" w:space="0" w:color="auto"/>
      </w:divBdr>
    </w:div>
    <w:div w:id="455755705">
      <w:bodyDiv w:val="1"/>
      <w:marLeft w:val="0"/>
      <w:marRight w:val="0"/>
      <w:marTop w:val="0"/>
      <w:marBottom w:val="0"/>
      <w:divBdr>
        <w:top w:val="none" w:sz="0" w:space="0" w:color="auto"/>
        <w:left w:val="none" w:sz="0" w:space="0" w:color="auto"/>
        <w:bottom w:val="none" w:sz="0" w:space="0" w:color="auto"/>
        <w:right w:val="none" w:sz="0" w:space="0" w:color="auto"/>
      </w:divBdr>
    </w:div>
    <w:div w:id="522742138">
      <w:bodyDiv w:val="1"/>
      <w:marLeft w:val="0"/>
      <w:marRight w:val="0"/>
      <w:marTop w:val="0"/>
      <w:marBottom w:val="0"/>
      <w:divBdr>
        <w:top w:val="none" w:sz="0" w:space="0" w:color="auto"/>
        <w:left w:val="none" w:sz="0" w:space="0" w:color="auto"/>
        <w:bottom w:val="none" w:sz="0" w:space="0" w:color="auto"/>
        <w:right w:val="none" w:sz="0" w:space="0" w:color="auto"/>
      </w:divBdr>
    </w:div>
    <w:div w:id="577981658">
      <w:bodyDiv w:val="1"/>
      <w:marLeft w:val="0"/>
      <w:marRight w:val="0"/>
      <w:marTop w:val="0"/>
      <w:marBottom w:val="0"/>
      <w:divBdr>
        <w:top w:val="none" w:sz="0" w:space="0" w:color="auto"/>
        <w:left w:val="none" w:sz="0" w:space="0" w:color="auto"/>
        <w:bottom w:val="none" w:sz="0" w:space="0" w:color="auto"/>
        <w:right w:val="none" w:sz="0" w:space="0" w:color="auto"/>
      </w:divBdr>
    </w:div>
    <w:div w:id="743071076">
      <w:bodyDiv w:val="1"/>
      <w:marLeft w:val="0"/>
      <w:marRight w:val="0"/>
      <w:marTop w:val="0"/>
      <w:marBottom w:val="0"/>
      <w:divBdr>
        <w:top w:val="none" w:sz="0" w:space="0" w:color="auto"/>
        <w:left w:val="none" w:sz="0" w:space="0" w:color="auto"/>
        <w:bottom w:val="none" w:sz="0" w:space="0" w:color="auto"/>
        <w:right w:val="none" w:sz="0" w:space="0" w:color="auto"/>
      </w:divBdr>
    </w:div>
    <w:div w:id="834416247">
      <w:bodyDiv w:val="1"/>
      <w:marLeft w:val="0"/>
      <w:marRight w:val="0"/>
      <w:marTop w:val="0"/>
      <w:marBottom w:val="0"/>
      <w:divBdr>
        <w:top w:val="none" w:sz="0" w:space="0" w:color="auto"/>
        <w:left w:val="none" w:sz="0" w:space="0" w:color="auto"/>
        <w:bottom w:val="none" w:sz="0" w:space="0" w:color="auto"/>
        <w:right w:val="none" w:sz="0" w:space="0" w:color="auto"/>
      </w:divBdr>
    </w:div>
    <w:div w:id="844629430">
      <w:bodyDiv w:val="1"/>
      <w:marLeft w:val="0"/>
      <w:marRight w:val="0"/>
      <w:marTop w:val="0"/>
      <w:marBottom w:val="0"/>
      <w:divBdr>
        <w:top w:val="none" w:sz="0" w:space="0" w:color="auto"/>
        <w:left w:val="none" w:sz="0" w:space="0" w:color="auto"/>
        <w:bottom w:val="none" w:sz="0" w:space="0" w:color="auto"/>
        <w:right w:val="none" w:sz="0" w:space="0" w:color="auto"/>
      </w:divBdr>
    </w:div>
    <w:div w:id="854805560">
      <w:bodyDiv w:val="1"/>
      <w:marLeft w:val="0"/>
      <w:marRight w:val="0"/>
      <w:marTop w:val="0"/>
      <w:marBottom w:val="0"/>
      <w:divBdr>
        <w:top w:val="none" w:sz="0" w:space="0" w:color="auto"/>
        <w:left w:val="none" w:sz="0" w:space="0" w:color="auto"/>
        <w:bottom w:val="none" w:sz="0" w:space="0" w:color="auto"/>
        <w:right w:val="none" w:sz="0" w:space="0" w:color="auto"/>
      </w:divBdr>
    </w:div>
    <w:div w:id="897471619">
      <w:bodyDiv w:val="1"/>
      <w:marLeft w:val="0"/>
      <w:marRight w:val="0"/>
      <w:marTop w:val="0"/>
      <w:marBottom w:val="0"/>
      <w:divBdr>
        <w:top w:val="none" w:sz="0" w:space="0" w:color="auto"/>
        <w:left w:val="none" w:sz="0" w:space="0" w:color="auto"/>
        <w:bottom w:val="none" w:sz="0" w:space="0" w:color="auto"/>
        <w:right w:val="none" w:sz="0" w:space="0" w:color="auto"/>
      </w:divBdr>
    </w:div>
    <w:div w:id="964311657">
      <w:bodyDiv w:val="1"/>
      <w:marLeft w:val="0"/>
      <w:marRight w:val="0"/>
      <w:marTop w:val="0"/>
      <w:marBottom w:val="0"/>
      <w:divBdr>
        <w:top w:val="none" w:sz="0" w:space="0" w:color="auto"/>
        <w:left w:val="none" w:sz="0" w:space="0" w:color="auto"/>
        <w:bottom w:val="none" w:sz="0" w:space="0" w:color="auto"/>
        <w:right w:val="none" w:sz="0" w:space="0" w:color="auto"/>
      </w:divBdr>
    </w:div>
    <w:div w:id="1070732494">
      <w:bodyDiv w:val="1"/>
      <w:marLeft w:val="0"/>
      <w:marRight w:val="0"/>
      <w:marTop w:val="0"/>
      <w:marBottom w:val="0"/>
      <w:divBdr>
        <w:top w:val="none" w:sz="0" w:space="0" w:color="auto"/>
        <w:left w:val="none" w:sz="0" w:space="0" w:color="auto"/>
        <w:bottom w:val="none" w:sz="0" w:space="0" w:color="auto"/>
        <w:right w:val="none" w:sz="0" w:space="0" w:color="auto"/>
      </w:divBdr>
    </w:div>
    <w:div w:id="1241721762">
      <w:bodyDiv w:val="1"/>
      <w:marLeft w:val="0"/>
      <w:marRight w:val="0"/>
      <w:marTop w:val="0"/>
      <w:marBottom w:val="0"/>
      <w:divBdr>
        <w:top w:val="none" w:sz="0" w:space="0" w:color="auto"/>
        <w:left w:val="none" w:sz="0" w:space="0" w:color="auto"/>
        <w:bottom w:val="none" w:sz="0" w:space="0" w:color="auto"/>
        <w:right w:val="none" w:sz="0" w:space="0" w:color="auto"/>
      </w:divBdr>
    </w:div>
    <w:div w:id="1242790234">
      <w:bodyDiv w:val="1"/>
      <w:marLeft w:val="0"/>
      <w:marRight w:val="0"/>
      <w:marTop w:val="0"/>
      <w:marBottom w:val="0"/>
      <w:divBdr>
        <w:top w:val="none" w:sz="0" w:space="0" w:color="auto"/>
        <w:left w:val="none" w:sz="0" w:space="0" w:color="auto"/>
        <w:bottom w:val="none" w:sz="0" w:space="0" w:color="auto"/>
        <w:right w:val="none" w:sz="0" w:space="0" w:color="auto"/>
      </w:divBdr>
    </w:div>
    <w:div w:id="1255091945">
      <w:bodyDiv w:val="1"/>
      <w:marLeft w:val="0"/>
      <w:marRight w:val="0"/>
      <w:marTop w:val="0"/>
      <w:marBottom w:val="0"/>
      <w:divBdr>
        <w:top w:val="none" w:sz="0" w:space="0" w:color="auto"/>
        <w:left w:val="none" w:sz="0" w:space="0" w:color="auto"/>
        <w:bottom w:val="none" w:sz="0" w:space="0" w:color="auto"/>
        <w:right w:val="none" w:sz="0" w:space="0" w:color="auto"/>
      </w:divBdr>
    </w:div>
    <w:div w:id="1344670599">
      <w:bodyDiv w:val="1"/>
      <w:marLeft w:val="0"/>
      <w:marRight w:val="0"/>
      <w:marTop w:val="0"/>
      <w:marBottom w:val="0"/>
      <w:divBdr>
        <w:top w:val="none" w:sz="0" w:space="0" w:color="auto"/>
        <w:left w:val="none" w:sz="0" w:space="0" w:color="auto"/>
        <w:bottom w:val="none" w:sz="0" w:space="0" w:color="auto"/>
        <w:right w:val="none" w:sz="0" w:space="0" w:color="auto"/>
      </w:divBdr>
    </w:div>
    <w:div w:id="1408452722">
      <w:bodyDiv w:val="1"/>
      <w:marLeft w:val="0"/>
      <w:marRight w:val="0"/>
      <w:marTop w:val="0"/>
      <w:marBottom w:val="0"/>
      <w:divBdr>
        <w:top w:val="none" w:sz="0" w:space="0" w:color="auto"/>
        <w:left w:val="none" w:sz="0" w:space="0" w:color="auto"/>
        <w:bottom w:val="none" w:sz="0" w:space="0" w:color="auto"/>
        <w:right w:val="none" w:sz="0" w:space="0" w:color="auto"/>
      </w:divBdr>
      <w:divsChild>
        <w:div w:id="1957056094">
          <w:marLeft w:val="0"/>
          <w:marRight w:val="0"/>
          <w:marTop w:val="0"/>
          <w:marBottom w:val="0"/>
          <w:divBdr>
            <w:top w:val="none" w:sz="0" w:space="0" w:color="auto"/>
            <w:left w:val="none" w:sz="0" w:space="0" w:color="auto"/>
            <w:bottom w:val="none" w:sz="0" w:space="0" w:color="auto"/>
            <w:right w:val="none" w:sz="0" w:space="0" w:color="auto"/>
          </w:divBdr>
        </w:div>
      </w:divsChild>
    </w:div>
    <w:div w:id="1471946392">
      <w:bodyDiv w:val="1"/>
      <w:marLeft w:val="0"/>
      <w:marRight w:val="0"/>
      <w:marTop w:val="0"/>
      <w:marBottom w:val="0"/>
      <w:divBdr>
        <w:top w:val="none" w:sz="0" w:space="0" w:color="auto"/>
        <w:left w:val="none" w:sz="0" w:space="0" w:color="auto"/>
        <w:bottom w:val="none" w:sz="0" w:space="0" w:color="auto"/>
        <w:right w:val="none" w:sz="0" w:space="0" w:color="auto"/>
      </w:divBdr>
    </w:div>
    <w:div w:id="1500196839">
      <w:bodyDiv w:val="1"/>
      <w:marLeft w:val="0"/>
      <w:marRight w:val="0"/>
      <w:marTop w:val="0"/>
      <w:marBottom w:val="0"/>
      <w:divBdr>
        <w:top w:val="none" w:sz="0" w:space="0" w:color="auto"/>
        <w:left w:val="none" w:sz="0" w:space="0" w:color="auto"/>
        <w:bottom w:val="none" w:sz="0" w:space="0" w:color="auto"/>
        <w:right w:val="none" w:sz="0" w:space="0" w:color="auto"/>
      </w:divBdr>
    </w:div>
    <w:div w:id="1557398401">
      <w:bodyDiv w:val="1"/>
      <w:marLeft w:val="0"/>
      <w:marRight w:val="0"/>
      <w:marTop w:val="0"/>
      <w:marBottom w:val="0"/>
      <w:divBdr>
        <w:top w:val="none" w:sz="0" w:space="0" w:color="auto"/>
        <w:left w:val="none" w:sz="0" w:space="0" w:color="auto"/>
        <w:bottom w:val="none" w:sz="0" w:space="0" w:color="auto"/>
        <w:right w:val="none" w:sz="0" w:space="0" w:color="auto"/>
      </w:divBdr>
    </w:div>
    <w:div w:id="1576629288">
      <w:bodyDiv w:val="1"/>
      <w:marLeft w:val="0"/>
      <w:marRight w:val="0"/>
      <w:marTop w:val="0"/>
      <w:marBottom w:val="0"/>
      <w:divBdr>
        <w:top w:val="none" w:sz="0" w:space="0" w:color="auto"/>
        <w:left w:val="none" w:sz="0" w:space="0" w:color="auto"/>
        <w:bottom w:val="none" w:sz="0" w:space="0" w:color="auto"/>
        <w:right w:val="none" w:sz="0" w:space="0" w:color="auto"/>
      </w:divBdr>
    </w:div>
    <w:div w:id="1579248813">
      <w:bodyDiv w:val="1"/>
      <w:marLeft w:val="0"/>
      <w:marRight w:val="0"/>
      <w:marTop w:val="0"/>
      <w:marBottom w:val="0"/>
      <w:divBdr>
        <w:top w:val="none" w:sz="0" w:space="0" w:color="auto"/>
        <w:left w:val="none" w:sz="0" w:space="0" w:color="auto"/>
        <w:bottom w:val="none" w:sz="0" w:space="0" w:color="auto"/>
        <w:right w:val="none" w:sz="0" w:space="0" w:color="auto"/>
      </w:divBdr>
    </w:div>
    <w:div w:id="1642996784">
      <w:bodyDiv w:val="1"/>
      <w:marLeft w:val="0"/>
      <w:marRight w:val="0"/>
      <w:marTop w:val="0"/>
      <w:marBottom w:val="0"/>
      <w:divBdr>
        <w:top w:val="none" w:sz="0" w:space="0" w:color="auto"/>
        <w:left w:val="none" w:sz="0" w:space="0" w:color="auto"/>
        <w:bottom w:val="none" w:sz="0" w:space="0" w:color="auto"/>
        <w:right w:val="none" w:sz="0" w:space="0" w:color="auto"/>
      </w:divBdr>
    </w:div>
    <w:div w:id="1773889551">
      <w:bodyDiv w:val="1"/>
      <w:marLeft w:val="0"/>
      <w:marRight w:val="0"/>
      <w:marTop w:val="0"/>
      <w:marBottom w:val="0"/>
      <w:divBdr>
        <w:top w:val="none" w:sz="0" w:space="0" w:color="auto"/>
        <w:left w:val="none" w:sz="0" w:space="0" w:color="auto"/>
        <w:bottom w:val="none" w:sz="0" w:space="0" w:color="auto"/>
        <w:right w:val="none" w:sz="0" w:space="0" w:color="auto"/>
      </w:divBdr>
    </w:div>
    <w:div w:id="1805004783">
      <w:bodyDiv w:val="1"/>
      <w:marLeft w:val="0"/>
      <w:marRight w:val="0"/>
      <w:marTop w:val="0"/>
      <w:marBottom w:val="0"/>
      <w:divBdr>
        <w:top w:val="none" w:sz="0" w:space="0" w:color="auto"/>
        <w:left w:val="none" w:sz="0" w:space="0" w:color="auto"/>
        <w:bottom w:val="none" w:sz="0" w:space="0" w:color="auto"/>
        <w:right w:val="none" w:sz="0" w:space="0" w:color="auto"/>
      </w:divBdr>
    </w:div>
    <w:div w:id="1838688133">
      <w:bodyDiv w:val="1"/>
      <w:marLeft w:val="0"/>
      <w:marRight w:val="0"/>
      <w:marTop w:val="0"/>
      <w:marBottom w:val="0"/>
      <w:divBdr>
        <w:top w:val="none" w:sz="0" w:space="0" w:color="auto"/>
        <w:left w:val="none" w:sz="0" w:space="0" w:color="auto"/>
        <w:bottom w:val="none" w:sz="0" w:space="0" w:color="auto"/>
        <w:right w:val="none" w:sz="0" w:space="0" w:color="auto"/>
      </w:divBdr>
    </w:div>
    <w:div w:id="1859149421">
      <w:bodyDiv w:val="1"/>
      <w:marLeft w:val="0"/>
      <w:marRight w:val="0"/>
      <w:marTop w:val="0"/>
      <w:marBottom w:val="0"/>
      <w:divBdr>
        <w:top w:val="none" w:sz="0" w:space="0" w:color="auto"/>
        <w:left w:val="none" w:sz="0" w:space="0" w:color="auto"/>
        <w:bottom w:val="none" w:sz="0" w:space="0" w:color="auto"/>
        <w:right w:val="none" w:sz="0" w:space="0" w:color="auto"/>
      </w:divBdr>
    </w:div>
    <w:div w:id="1862860806">
      <w:bodyDiv w:val="1"/>
      <w:marLeft w:val="0"/>
      <w:marRight w:val="0"/>
      <w:marTop w:val="0"/>
      <w:marBottom w:val="0"/>
      <w:divBdr>
        <w:top w:val="none" w:sz="0" w:space="0" w:color="auto"/>
        <w:left w:val="none" w:sz="0" w:space="0" w:color="auto"/>
        <w:bottom w:val="none" w:sz="0" w:space="0" w:color="auto"/>
        <w:right w:val="none" w:sz="0" w:space="0" w:color="auto"/>
      </w:divBdr>
    </w:div>
    <w:div w:id="2028214359">
      <w:bodyDiv w:val="1"/>
      <w:marLeft w:val="0"/>
      <w:marRight w:val="0"/>
      <w:marTop w:val="0"/>
      <w:marBottom w:val="0"/>
      <w:divBdr>
        <w:top w:val="none" w:sz="0" w:space="0" w:color="auto"/>
        <w:left w:val="none" w:sz="0" w:space="0" w:color="auto"/>
        <w:bottom w:val="none" w:sz="0" w:space="0" w:color="auto"/>
        <w:right w:val="none" w:sz="0" w:space="0" w:color="auto"/>
      </w:divBdr>
    </w:div>
    <w:div w:id="2038968819">
      <w:bodyDiv w:val="1"/>
      <w:marLeft w:val="0"/>
      <w:marRight w:val="0"/>
      <w:marTop w:val="0"/>
      <w:marBottom w:val="0"/>
      <w:divBdr>
        <w:top w:val="none" w:sz="0" w:space="0" w:color="auto"/>
        <w:left w:val="none" w:sz="0" w:space="0" w:color="auto"/>
        <w:bottom w:val="none" w:sz="0" w:space="0" w:color="auto"/>
        <w:right w:val="none" w:sz="0" w:space="0" w:color="auto"/>
      </w:divBdr>
    </w:div>
    <w:div w:id="210129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D9663-1627-493F-A69F-2878AE2DA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8C8C1FDC.dotm</Template>
  <TotalTime>0</TotalTime>
  <Pages>12</Pages>
  <Words>4034</Words>
  <Characters>21017</Characters>
  <Application>Microsoft Office Word</Application>
  <DocSecurity>8</DocSecurity>
  <Lines>175</Lines>
  <Paragraphs>50</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25001</CharactersWithSpaces>
  <SharedDoc>false</SharedDoc>
  <HLinks>
    <vt:vector size="36" baseType="variant">
      <vt:variant>
        <vt:i4>6357026</vt:i4>
      </vt:variant>
      <vt:variant>
        <vt:i4>18</vt:i4>
      </vt:variant>
      <vt:variant>
        <vt:i4>0</vt:i4>
      </vt:variant>
      <vt:variant>
        <vt:i4>5</vt:i4>
      </vt:variant>
      <vt:variant>
        <vt:lpwstr>http://www.vcat.vic.gov.au/</vt:lpwstr>
      </vt:variant>
      <vt:variant>
        <vt:lpwstr/>
      </vt:variant>
      <vt:variant>
        <vt:i4>6357026</vt:i4>
      </vt:variant>
      <vt:variant>
        <vt:i4>15</vt:i4>
      </vt:variant>
      <vt:variant>
        <vt:i4>0</vt:i4>
      </vt:variant>
      <vt:variant>
        <vt:i4>5</vt:i4>
      </vt:variant>
      <vt:variant>
        <vt:lpwstr>http://www.vcat.vic.gov.au/</vt:lpwstr>
      </vt:variant>
      <vt:variant>
        <vt:lpwstr/>
      </vt:variant>
      <vt:variant>
        <vt:i4>4849781</vt:i4>
      </vt:variant>
      <vt:variant>
        <vt:i4>18</vt:i4>
      </vt:variant>
      <vt:variant>
        <vt:i4>0</vt:i4>
      </vt:variant>
      <vt:variant>
        <vt:i4>5</vt:i4>
      </vt:variant>
      <vt:variant>
        <vt:lpwstr>mailto:admin@vcat.vic.gov.au</vt:lpwstr>
      </vt:variant>
      <vt:variant>
        <vt:lpwstr/>
      </vt:variant>
      <vt:variant>
        <vt:i4>6357026</vt:i4>
      </vt:variant>
      <vt:variant>
        <vt:i4>15</vt:i4>
      </vt:variant>
      <vt:variant>
        <vt:i4>0</vt:i4>
      </vt:variant>
      <vt:variant>
        <vt:i4>5</vt:i4>
      </vt:variant>
      <vt:variant>
        <vt:lpwstr>http://www.vcat.vic.gov.au/</vt:lpwstr>
      </vt:variant>
      <vt:variant>
        <vt:lpwstr/>
      </vt:variant>
      <vt:variant>
        <vt:i4>4849781</vt:i4>
      </vt:variant>
      <vt:variant>
        <vt:i4>12</vt:i4>
      </vt:variant>
      <vt:variant>
        <vt:i4>0</vt:i4>
      </vt:variant>
      <vt:variant>
        <vt:i4>5</vt:i4>
      </vt:variant>
      <vt:variant>
        <vt:lpwstr>mailto:admin@vcat.vic.gov.au</vt:lpwstr>
      </vt:variant>
      <vt:variant>
        <vt:lpwstr/>
      </vt:variant>
      <vt:variant>
        <vt:i4>6357026</vt:i4>
      </vt:variant>
      <vt:variant>
        <vt:i4>9</vt:i4>
      </vt:variant>
      <vt:variant>
        <vt:i4>0</vt:i4>
      </vt:variant>
      <vt:variant>
        <vt:i4>5</vt:i4>
      </vt:variant>
      <vt:variant>
        <vt:lpwstr>http://www.vcat.vic.gov.au/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Margaret Baird (CSV)</dc:creator>
  <cp:keywords/>
  <dc:description/>
  <cp:lastModifiedBy>Pat C Fernando (CSV)</cp:lastModifiedBy>
  <cp:revision>3</cp:revision>
  <cp:lastPrinted>2020-06-28T22:08:00Z</cp:lastPrinted>
  <dcterms:created xsi:type="dcterms:W3CDTF">2020-06-28T22:08:00Z</dcterms:created>
  <dcterms:modified xsi:type="dcterms:W3CDTF">2020-06-29T01:45:00Z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
  </property>
</Properties>
</file>